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7872" w14:textId="77777777" w:rsidR="0040465B" w:rsidRPr="00B873D9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B873D9">
        <w:rPr>
          <w:rFonts w:ascii="Times New Roman" w:hAnsi="Times New Roman" w:cs="Times New Roman"/>
        </w:rPr>
        <w:t>Załącznik</w:t>
      </w:r>
      <w:r w:rsidR="008B04DB">
        <w:rPr>
          <w:rFonts w:ascii="Times New Roman" w:hAnsi="Times New Roman" w:cs="Times New Roman"/>
        </w:rPr>
        <w:t xml:space="preserve"> </w:t>
      </w:r>
      <w:r w:rsidRPr="00B873D9">
        <w:rPr>
          <w:rFonts w:ascii="Times New Roman" w:hAnsi="Times New Roman" w:cs="Times New Roman"/>
        </w:rPr>
        <w:t>B.9.</w:t>
      </w:r>
      <w:r w:rsidR="009F3C07" w:rsidRPr="00B873D9">
        <w:rPr>
          <w:rFonts w:ascii="Times New Roman" w:hAnsi="Times New Roman" w:cs="Times New Roman"/>
        </w:rPr>
        <w:t>FM.</w:t>
      </w:r>
    </w:p>
    <w:p w14:paraId="631261B6" w14:textId="77777777" w:rsidR="0040465B" w:rsidRPr="00B873D9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533B7B14" w14:textId="77777777" w:rsidR="00E302B5" w:rsidRPr="00B873D9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73D9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CHORYCH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NA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RAKA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PIERSI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B873D9">
        <w:rPr>
          <w:rFonts w:ascii="Times New Roman" w:hAnsi="Times New Roman" w:cs="Times New Roman"/>
          <w:b/>
          <w:sz w:val="28"/>
          <w:szCs w:val="28"/>
        </w:rPr>
        <w:t>: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0465B" w:rsidRPr="00B873D9">
        <w:rPr>
          <w:rFonts w:ascii="Times New Roman" w:hAnsi="Times New Roman" w:cs="Times New Roman"/>
          <w:b/>
          <w:sz w:val="28"/>
          <w:szCs w:val="28"/>
        </w:rPr>
        <w:t>C50</w:t>
      </w:r>
      <w:proofErr w:type="spellEnd"/>
      <w:r w:rsidR="0040465B" w:rsidRPr="00B873D9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C3087" w:rsidRPr="007C3087" w14:paraId="516EB248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2BED80B0" w14:textId="77777777" w:rsidR="00F1705D" w:rsidRDefault="00127F97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C3087" w:rsidRPr="007C3087" w14:paraId="5604EA43" w14:textId="77777777" w:rsidTr="009E457E">
        <w:trPr>
          <w:trHeight w:val="20"/>
          <w:jc w:val="center"/>
        </w:trPr>
        <w:tc>
          <w:tcPr>
            <w:tcW w:w="6799" w:type="dxa"/>
            <w:vAlign w:val="center"/>
          </w:tcPr>
          <w:p w14:paraId="1EBA65E6" w14:textId="77777777" w:rsidR="00971D9B" w:rsidRPr="007C3087" w:rsidRDefault="00971D9B" w:rsidP="00D92A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vAlign w:val="center"/>
          </w:tcPr>
          <w:p w14:paraId="6FE3F80D" w14:textId="77777777" w:rsidR="00F1705D" w:rsidRDefault="00E302B5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17B00037" w14:textId="77777777" w:rsidR="00F1705D" w:rsidRDefault="00971D9B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7C3087" w14:paraId="12F985A6" w14:textId="77777777" w:rsidTr="009E457E">
        <w:trPr>
          <w:trHeight w:val="20"/>
          <w:jc w:val="center"/>
        </w:trPr>
        <w:tc>
          <w:tcPr>
            <w:tcW w:w="6799" w:type="dxa"/>
          </w:tcPr>
          <w:p w14:paraId="159BF398" w14:textId="77777777" w:rsidR="00705EF6" w:rsidRPr="00AE7613" w:rsidRDefault="00705EF6" w:rsidP="00D92ACE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ADCCD3C" w14:textId="77777777" w:rsidR="00705EF6" w:rsidRPr="00AE7613" w:rsidRDefault="008B04DB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BA476C" w14:textId="77777777" w:rsidR="00705EF6" w:rsidRPr="00AE7613" w:rsidRDefault="008B04DB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52BECB" w14:textId="77777777" w:rsidR="00705EF6" w:rsidRPr="00AE7613" w:rsidRDefault="008B04DB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6E534D" w14:textId="77777777" w:rsidR="00D96DEC" w:rsidRPr="00AE7613" w:rsidRDefault="008B04DB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lapatynib</w:t>
            </w:r>
            <w:proofErr w:type="spellEnd"/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7E9DD9" w14:textId="77777777" w:rsidR="00AB2520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7A3E63" w14:textId="77777777" w:rsidR="00705EF6" w:rsidRPr="00AE7613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derukstekan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B82A6B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7C3087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40052B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507B1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13023D" w14:textId="77777777" w:rsidR="007C3087" w:rsidRPr="00AE7613" w:rsidRDefault="007C308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999CE" w14:textId="77777777" w:rsidR="00705EF6" w:rsidRPr="00AE7613" w:rsidRDefault="00612E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9E3DCA" w14:textId="77777777" w:rsidR="00003FDE" w:rsidRPr="00AE7613" w:rsidRDefault="00003FD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552EF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zastosowania)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AB25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3D3B91E3" w14:textId="77777777" w:rsidR="00F1705D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587D12" w14:textId="77777777" w:rsidR="00F1705D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AE761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C2D995" w14:textId="77777777" w:rsidR="00F1705D" w:rsidRDefault="00C84355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lapatynib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21EBE5" w14:textId="77777777" w:rsidR="00F1705D" w:rsidRPr="00FB6963" w:rsidRDefault="00F9775A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AE7613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proofErr w:type="spellEnd"/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anty-HER2</w:t>
            </w:r>
            <w:r w:rsidR="00AB252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00635D9A" w14:textId="77777777" w:rsidR="00F1705D" w:rsidRDefault="00AB2520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FB6963">
              <w:rPr>
                <w:rFonts w:ascii="Times New Roman" w:eastAsia="Calibri" w:hAnsi="Times New Roman" w:cs="Times New Roman"/>
                <w:sz w:val="20"/>
                <w:szCs w:val="20"/>
              </w:rPr>
              <w:t>derukstekan</w:t>
            </w:r>
            <w:proofErr w:type="spellEnd"/>
            <w:r w:rsidRPr="00033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Pr="00E163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drugiej lub </w:t>
            </w:r>
            <w:r w:rsidRPr="00E163FE">
              <w:rPr>
                <w:rFonts w:ascii="Times New Roman" w:eastAsia="Calibri" w:hAnsi="Times New Roman" w:cs="Times New Roman"/>
                <w:sz w:val="20"/>
                <w:szCs w:val="20"/>
              </w:rPr>
              <w:t>trzeciej lub czwartej linii leczenia</w:t>
            </w:r>
            <w:r w:rsidRPr="00643E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stosowanej z powodu nieoperacyjnego lub zaawansowanego HER2-dodatniego raka piersi  po zastosowaniu co </w:t>
            </w:r>
            <w:r w:rsidRPr="00CA3E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najmniej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Pr="00643E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linii terapii anty-HER2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F0A9344" w14:textId="77777777" w:rsidR="00033A6E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08BFE" w14:textId="77777777" w:rsidR="00785C79" w:rsidRPr="00AE7613" w:rsidRDefault="00785C7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zastosowania) HER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A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CC773E8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B63C96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3F0DE6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abemacyklibem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050E5E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04EF81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E517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653360" w14:textId="77777777" w:rsidR="00F1705D" w:rsidRDefault="00E517B2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70F277" w14:textId="77777777" w:rsidR="00033A6E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2C488" w14:textId="77777777" w:rsidR="00F1705D" w:rsidRDefault="00033A6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leczeniu uzupełniającym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>luminalnego</w:t>
            </w:r>
            <w:proofErr w:type="spellEnd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HER2</w:t>
            </w:r>
            <w:r w:rsidR="00AC1A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ujemnego raka piersi oraz potrójnie ujemnego raka piersi stosowany jest : </w:t>
            </w:r>
          </w:p>
          <w:p w14:paraId="670A4E46" w14:textId="54D260F2" w:rsidR="00F1705D" w:rsidRPr="00FB6963" w:rsidRDefault="0063355B" w:rsidP="00FB6963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proofErr w:type="spellEnd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w leczeniu </w:t>
            </w:r>
            <w:proofErr w:type="spellStart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dorosłych pacjentów z 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proofErr w:type="spellEnd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, leczony wcześniej chemioterapią </w:t>
            </w:r>
            <w:proofErr w:type="spellStart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>neoadjuwantową</w:t>
            </w:r>
            <w:proofErr w:type="spellEnd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69CE77" w14:textId="77777777" w:rsidR="00A468E5" w:rsidRPr="00AE7613" w:rsidRDefault="00A468E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26873" w14:textId="77777777" w:rsidR="00B34502" w:rsidRPr="00AE7613" w:rsidRDefault="00B345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AE761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7A0DC69C" w14:textId="77777777" w:rsidR="00F1705D" w:rsidRDefault="00B34502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894FC5" w14:textId="77777777" w:rsidR="00F1705D" w:rsidRDefault="006A38A9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C63793" w14:textId="77777777" w:rsidR="00F1705D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4EB162" w14:textId="77777777" w:rsidR="00F1705D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033A6E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proofErr w:type="spellEnd"/>
            <w:r w:rsidR="00033A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0B21CF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AE76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7F7D22C" w14:textId="528C4810" w:rsidR="00F1705D" w:rsidRDefault="006E37A7" w:rsidP="00FB6963">
            <w:pPr>
              <w:spacing w:line="276" w:lineRule="auto"/>
              <w:jc w:val="both"/>
            </w:pPr>
            <w:r w:rsidRPr="003863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W programie istnieje </w:t>
            </w:r>
            <w:r w:rsidR="009B0BE2" w:rsidRPr="009B0BE2">
              <w:rPr>
                <w:rFonts w:ascii="Times New Roman" w:hAnsi="Times New Roman"/>
                <w:color w:val="000000"/>
                <w:sz w:val="20"/>
                <w:szCs w:val="20"/>
              </w:rPr>
              <w:t>jednorazowa możliwość zastosowania terapii lekowej z użyciem inhibitorów PARP.</w:t>
            </w:r>
          </w:p>
          <w:p w14:paraId="6946A618" w14:textId="77777777" w:rsidR="006E37A7" w:rsidRPr="00AE7613" w:rsidRDefault="006E37A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EC4D4" w14:textId="77777777" w:rsidR="007C5B2F" w:rsidRPr="00AE7613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0CB1D841" w14:textId="77777777" w:rsidR="00F1705D" w:rsidRDefault="00B52050" w:rsidP="00FB696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C1E3EC" w14:textId="77777777" w:rsidR="00F1705D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5191F4" w14:textId="77777777" w:rsidR="00F1705D" w:rsidRDefault="00033A6E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590079" w14:textId="77777777" w:rsidR="00F1705D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74230F" w14:textId="77777777" w:rsidR="00B52050" w:rsidRPr="00AE7613" w:rsidRDefault="00B5205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7D71CF16" w14:textId="77777777" w:rsidR="00EA134C" w:rsidRPr="00AE7613" w:rsidRDefault="00EA134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27AA1" w14:textId="77777777" w:rsidR="007C5B2F" w:rsidRPr="00AE7613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4457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4FC71AE0" w14:textId="77777777" w:rsidR="00F1705D" w:rsidRDefault="00B52050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ED98B" w14:textId="77777777" w:rsidR="00F1705D" w:rsidRDefault="007D1A4B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033A6E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proofErr w:type="spellEnd"/>
            <w:r w:rsidR="00033A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antr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CC7EFD" w14:textId="77777777" w:rsidR="00F1705D" w:rsidRDefault="00365A2F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7130936A" w14:textId="77777777" w:rsidR="00EE2BB0" w:rsidRPr="00AE7613" w:rsidRDefault="00EE2BB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6F942BBC" w14:textId="77777777" w:rsidR="00705EF6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ED099" w14:textId="77777777" w:rsidR="00F1705D" w:rsidRPr="00FB6963" w:rsidRDefault="0063355B" w:rsidP="00FB6963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raka piersi</w:t>
            </w:r>
          </w:p>
          <w:p w14:paraId="2A753674" w14:textId="77777777" w:rsidR="00F1705D" w:rsidRDefault="00971D9B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6DB6D4CF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1A0EECC8" w14:textId="77777777" w:rsidR="00971D9B" w:rsidRPr="00AE7613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499E7791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F5DD761" w14:textId="77777777" w:rsidR="00971D9B" w:rsidRPr="00AE7613" w:rsidRDefault="00847AC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E1C9F0C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1B0E5E09" w14:textId="77777777" w:rsidR="00720F17" w:rsidRPr="00AE7613" w:rsidRDefault="00720F1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113A4E79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9C05CC" w:rsidRPr="00E87BE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A64" w:rsidRPr="00E87BE9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E12B36" w14:textId="77777777" w:rsidR="00507B13" w:rsidRPr="00AE7613" w:rsidRDefault="00507B13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37362" w14:textId="77777777" w:rsidR="00971D9B" w:rsidRPr="00AE7613" w:rsidRDefault="00DE620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2FAE5C5B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4F19DC29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2E1FE737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18F5E60D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C8735A0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5A20F7BE" w14:textId="77777777" w:rsidR="009C46FB" w:rsidRPr="00AE7613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DCD0BD7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4C0C72" w14:textId="77777777" w:rsidR="00971D9B" w:rsidRPr="00AE7613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6866D58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</w:p>
          <w:p w14:paraId="2E1DB398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</w:p>
          <w:p w14:paraId="447F93E7" w14:textId="77777777" w:rsidR="009C46FB" w:rsidRPr="00AE7613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D59DBE8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2B564F10" w14:textId="77777777" w:rsidR="00971D9B" w:rsidRPr="00AE7613" w:rsidRDefault="009C46F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923F55A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3883DAF" w14:textId="77777777" w:rsidR="00F1705D" w:rsidRDefault="00971D9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wyjściowo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27CF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cN1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7CB3410E" w14:textId="77777777" w:rsidR="00971D9B" w:rsidRPr="00AE7613" w:rsidRDefault="00507B13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03D3B82A" w14:textId="77777777" w:rsidR="00F1705D" w:rsidRDefault="00F051CF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27CF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6C4CE352" w14:textId="77777777" w:rsidR="006A559B" w:rsidRPr="00AE7613" w:rsidRDefault="006A55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CB9A63E" w14:textId="77777777" w:rsidR="00F1705D" w:rsidRDefault="008B04D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2B7043" w14:textId="77777777" w:rsidR="00CD3DB8" w:rsidRPr="00AE7613" w:rsidRDefault="00CD3DB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27EAF13" w14:textId="77777777" w:rsidR="00F1705D" w:rsidRDefault="00436F41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10F6BF5" w14:textId="77777777" w:rsidR="00F1705D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7AD59D0" w14:textId="77777777" w:rsidR="00F71373" w:rsidRPr="00AE7613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5B6929" w14:textId="77777777" w:rsidR="00F1705D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DE4514" w14:textId="77777777" w:rsidR="009A04A6" w:rsidRPr="00AE7613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430CDB6B" w14:textId="77777777" w:rsidR="00F1705D" w:rsidRDefault="007630B6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78D4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470A3881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</w:p>
          <w:p w14:paraId="6E267E62" w14:textId="77777777" w:rsidR="00971D9B" w:rsidRPr="00AE7613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55CB676B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774B4A69" w14:textId="77777777" w:rsidR="00971D9B" w:rsidRPr="00AE7613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E72967B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2D03BBBC" w14:textId="77777777" w:rsidR="00F1705D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345E6FA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BAC9D5" w14:textId="77777777" w:rsidR="00F1705D" w:rsidRPr="00FB6963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87B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DDAF06" w14:textId="77777777" w:rsidR="00F1705D" w:rsidRPr="00FB6963" w:rsidRDefault="00E87BE9" w:rsidP="00FB6963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4E903DF7" w14:textId="77777777" w:rsidR="00221F54" w:rsidRPr="00AE7613" w:rsidRDefault="001C5F0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EA5FCD5" w14:textId="77777777" w:rsidR="00E27F1D" w:rsidRPr="00AE7613" w:rsidRDefault="00E27F1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13187" w14:textId="77777777" w:rsidR="00F2763F" w:rsidRDefault="00D96DEC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 w:rsidR="00FA2F3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2A35B9B9" w14:textId="77777777" w:rsidR="00E87BE9" w:rsidRDefault="00E87BE9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A22B217" w14:textId="77777777" w:rsidR="00F1705D" w:rsidRPr="00FB6963" w:rsidRDefault="0063355B" w:rsidP="00FB6963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 HER2-ujemnego </w:t>
            </w:r>
            <w:r w:rsidR="008A55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potrójnie ujemnego </w:t>
            </w: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 piersi w programie obejmuje:</w:t>
            </w:r>
          </w:p>
          <w:p w14:paraId="50170BEC" w14:textId="77777777" w:rsidR="00F1705D" w:rsidRDefault="00AD45EE" w:rsidP="003649D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pooperacyjne (adjuwantowe)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raka piersi </w:t>
            </w:r>
            <w:proofErr w:type="spellStart"/>
            <w:r w:rsidRPr="003F658E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pacjentów z 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proofErr w:type="spellEnd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3F658E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, leczony wcześniej chemioterapią </w:t>
            </w:r>
            <w:proofErr w:type="spellStart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>neoadjuwantową</w:t>
            </w:r>
            <w:proofErr w:type="spellEnd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Pr="00033A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314855" w14:textId="77777777" w:rsidR="00F1705D" w:rsidRDefault="00F1705D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eastAsia="PMingLiU" w:hAnsi="Times New Roman"/>
                <w:b/>
                <w:color w:val="000000" w:themeColor="text1"/>
                <w:sz w:val="20"/>
                <w:szCs w:val="20"/>
                <w:lang w:eastAsia="zh-TW"/>
              </w:rPr>
            </w:pPr>
          </w:p>
          <w:p w14:paraId="40B0B86D" w14:textId="77777777" w:rsidR="00F1705D" w:rsidRPr="00FB6963" w:rsidRDefault="0063355B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wczesnego, HER2-ujemnego raka piersi</w:t>
            </w:r>
            <w:r w:rsidR="00AD45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569FF561" w14:textId="77777777" w:rsidR="00F1705D" w:rsidRPr="00FB6963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iek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14:paraId="51956487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otwierdzony histologicznie inwazyjny rak piersi bez przerzutów odległych (tj. cecha </w:t>
            </w:r>
            <w:proofErr w:type="spellStart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M0</w:t>
            </w:r>
            <w:proofErr w:type="spellEnd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w klasyfikacji TNM);</w:t>
            </w:r>
          </w:p>
          <w:p w14:paraId="6B3E6429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dokumentowany brak </w:t>
            </w:r>
            <w:proofErr w:type="spellStart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receptora HER2 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br/>
              <w:t>w komórkach raka (wynik /0 lub 1+/ w badaniu IHC) lub brak amplifikacji genu HER2 (wynik /-/ w badaniu metodą hybrydyzacji in situ (ISH));</w:t>
            </w:r>
            <w:r w:rsidR="00E87BE9" w:rsidRPr="00E87BE9" w:rsidDel="00BD4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955FEC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becność patogennej lub prawdopodobnie patogennej mutacji w genie BRCA1 lub w BRCA2 (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8DB149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akończone miejscowe leczenie chirurgiczne piersi lub węzłów pachowych (chorzy po zabiegach chirurgicznych muszą ukończyć radioterapię </w:t>
            </w:r>
            <w:proofErr w:type="spellStart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o ile jest wskazana);</w:t>
            </w:r>
          </w:p>
          <w:p w14:paraId="6AD6FB1C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kończenie chemioterapii adjuwantowej lub neoadjuwantowej;  </w:t>
            </w:r>
          </w:p>
          <w:p w14:paraId="546C46D9" w14:textId="094F77F6" w:rsidR="00F1705D" w:rsidRPr="00605A59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605A59">
              <w:rPr>
                <w:rFonts w:ascii="Times New Roman" w:hAnsi="Times New Roman"/>
                <w:sz w:val="20"/>
                <w:szCs w:val="20"/>
              </w:rPr>
              <w:t xml:space="preserve">a)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605A59">
              <w:rPr>
                <w:rFonts w:ascii="Times New Roman" w:hAnsi="Times New Roman"/>
                <w:sz w:val="20"/>
                <w:szCs w:val="20"/>
              </w:rPr>
              <w:t>potrójnie ujemny:</w:t>
            </w:r>
          </w:p>
          <w:p w14:paraId="58E6DF67" w14:textId="543C6F4A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i chemioterapii adjuwantowej -  pierwotny guz piersi o dowolnej średnicy i patomorfologicznie potwierdzona obecność przerzutów w pachowych węzłach chłonnych (cecha ≥</w:t>
            </w:r>
            <w:proofErr w:type="spellStart"/>
            <w:r w:rsidR="00605A59" w:rsidRPr="00605A59">
              <w:rPr>
                <w:rFonts w:ascii="Times New Roman" w:hAnsi="Times New Roman"/>
                <w:sz w:val="20"/>
                <w:szCs w:val="20"/>
              </w:rPr>
              <w:t>pN1</w:t>
            </w:r>
            <w:proofErr w:type="spellEnd"/>
            <w:r w:rsidR="00605A59" w:rsidRPr="00605A59">
              <w:rPr>
                <w:rFonts w:ascii="Times New Roman" w:hAnsi="Times New Roman"/>
                <w:sz w:val="20"/>
                <w:szCs w:val="20"/>
              </w:rPr>
              <w:t>) lub inwazyjny guz pierwotny o średnicy przynajmniej 2 cm (cecha ≥</w:t>
            </w:r>
            <w:proofErr w:type="spellStart"/>
            <w:r w:rsidR="00605A59" w:rsidRPr="00605A59">
              <w:rPr>
                <w:rFonts w:ascii="Times New Roman" w:hAnsi="Times New Roman"/>
                <w:sz w:val="20"/>
                <w:szCs w:val="20"/>
              </w:rPr>
              <w:t>pT2</w:t>
            </w:r>
            <w:proofErr w:type="spellEnd"/>
            <w:r w:rsidR="00605A59" w:rsidRPr="00605A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2C1553D4" w14:textId="3540D5EF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 xml:space="preserve">przypadku chorych którzy otrzymali chemioterapię </w:t>
            </w:r>
            <w:proofErr w:type="spellStart"/>
            <w:r w:rsidR="00605A59" w:rsidRPr="00605A59">
              <w:rPr>
                <w:rFonts w:ascii="Times New Roman" w:hAnsi="Times New Roman"/>
                <w:sz w:val="20"/>
                <w:szCs w:val="20"/>
              </w:rPr>
              <w:t>neoadjuwantową</w:t>
            </w:r>
            <w:proofErr w:type="spellEnd"/>
            <w:r w:rsidR="00605A59" w:rsidRPr="00605A59">
              <w:rPr>
                <w:rFonts w:ascii="Times New Roman" w:hAnsi="Times New Roman"/>
                <w:sz w:val="20"/>
                <w:szCs w:val="20"/>
              </w:rPr>
              <w:t xml:space="preserve"> - nieuzyskanie całkowitej odpowiedzi potwierdzone w badaniu patomorfologicznym (non-</w:t>
            </w:r>
            <w:proofErr w:type="spellStart"/>
            <w:r w:rsidR="00605A59" w:rsidRPr="00605A59">
              <w:rPr>
                <w:rFonts w:ascii="Times New Roman" w:hAnsi="Times New Roman"/>
                <w:sz w:val="20"/>
                <w:szCs w:val="20"/>
              </w:rPr>
              <w:t>pCR</w:t>
            </w:r>
            <w:proofErr w:type="spellEnd"/>
            <w:r w:rsidR="00605A59" w:rsidRPr="00605A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493DA496" w14:textId="77777777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CDFEDA6" w14:textId="3FA59628" w:rsidR="00F1705D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b</w:t>
            </w:r>
            <w:r w:rsidRPr="00605A5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605A59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605A59">
              <w:rPr>
                <w:rFonts w:ascii="Times New Roman" w:hAnsi="Times New Roman"/>
                <w:sz w:val="20"/>
                <w:szCs w:val="20"/>
              </w:rPr>
              <w:t xml:space="preserve">z udokumentowaną ekspresją </w:t>
            </w:r>
            <w:r w:rsidRPr="00605A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steroidowych receptorów hormonalnych</w:t>
            </w:r>
            <w:r w:rsidR="00F955D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5ACED5F" w14:textId="4AFE1101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lub hormonoterapii</w:t>
            </w:r>
            <w:r w:rsidR="00F95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55D4" w:rsidRPr="00F955D4">
              <w:rPr>
                <w:rFonts w:ascii="Times New Roman" w:hAnsi="Times New Roman"/>
                <w:sz w:val="20"/>
                <w:szCs w:val="20"/>
              </w:rPr>
              <w:t xml:space="preserve">przedoperacyjnej - </w:t>
            </w:r>
            <w:r w:rsidR="00F1112A" w:rsidRPr="00F1112A">
              <w:rPr>
                <w:rFonts w:ascii="Times New Roman" w:hAnsi="Times New Roman"/>
                <w:sz w:val="20"/>
                <w:szCs w:val="20"/>
              </w:rPr>
              <w:t>obecność choroby przerzutowej w węzłach chłonnych;</w:t>
            </w:r>
          </w:p>
          <w:p w14:paraId="261B16DA" w14:textId="370E0D27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lastRenderedPageBreak/>
              <w:t>- w przypadku chorych k</w:t>
            </w:r>
            <w:r w:rsidRPr="00F955D4">
              <w:rPr>
                <w:rFonts w:ascii="Times New Roman" w:hAnsi="Times New Roman"/>
                <w:sz w:val="20"/>
                <w:szCs w:val="20"/>
              </w:rPr>
              <w:t xml:space="preserve">tórzy otrzymali chemioterapię </w:t>
            </w:r>
            <w:proofErr w:type="spellStart"/>
            <w:r w:rsidRPr="00F955D4">
              <w:rPr>
                <w:rFonts w:ascii="Times New Roman" w:hAnsi="Times New Roman"/>
                <w:sz w:val="20"/>
                <w:szCs w:val="20"/>
              </w:rPr>
              <w:t>neoadjuwantową</w:t>
            </w:r>
            <w:proofErr w:type="spellEnd"/>
            <w:r w:rsidRPr="00F955D4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F955D4" w:rsidRPr="00F955D4">
              <w:rPr>
                <w:rFonts w:ascii="Times New Roman" w:hAnsi="Times New Roman"/>
                <w:sz w:val="20"/>
                <w:szCs w:val="20"/>
              </w:rPr>
              <w:t>nieuzyskanie całkowitej odpowiedzi potwierdzone w badaniu patomorfologicznym (non-</w:t>
            </w:r>
            <w:proofErr w:type="spellStart"/>
            <w:r w:rsidR="00F955D4" w:rsidRPr="00F955D4">
              <w:rPr>
                <w:rFonts w:ascii="Times New Roman" w:hAnsi="Times New Roman"/>
                <w:sz w:val="20"/>
                <w:szCs w:val="20"/>
              </w:rPr>
              <w:t>pCR</w:t>
            </w:r>
            <w:proofErr w:type="spellEnd"/>
            <w:r w:rsidR="00F955D4" w:rsidRPr="00F955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4A611F87" w14:textId="53B92740" w:rsidR="00406170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adekwatna </w:t>
            </w:r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wydolność narządowa określona na podstawie wyników badań laboratoryjnych krwi zgodnie z zapisami Charakterystyki Produktu Leczniczego;</w:t>
            </w:r>
          </w:p>
          <w:p w14:paraId="0CBA9004" w14:textId="0E9B9E94" w:rsidR="00406170" w:rsidRPr="00406170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</w:t>
            </w:r>
            <w:r w:rsidRPr="00406170">
              <w:rPr>
                <w:rFonts w:ascii="Times New Roman" w:hAnsi="Times New Roman" w:cs="Times New Roman"/>
                <w:sz w:val="20"/>
                <w:szCs w:val="20"/>
              </w:rPr>
              <w:t xml:space="preserve">przeciwwskazań do stosowania </w:t>
            </w:r>
            <w:proofErr w:type="spellStart"/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11E54D" w14:textId="45FC3F0B" w:rsidR="00406170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nieobecność </w:t>
            </w:r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istotnych klinicznie i niekontrolowanych stosowanym postępowaniem farmakologicznym chorób współistniejących stanowiących przeciwwskazanie do leczenia;</w:t>
            </w:r>
          </w:p>
          <w:p w14:paraId="5A670634" w14:textId="77777777" w:rsidR="00F1705D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prawność w stopniu 0-1 według kryteriów </w:t>
            </w:r>
            <w:proofErr w:type="spellStart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3D65D341" w14:textId="31804A28" w:rsidR="00F1705D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ykluczenie ciąży i okresu karmienia piersią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6640B4" w14:textId="77777777" w:rsidR="00F1705D" w:rsidRPr="00FB6963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F658E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1BCCF5EF" w14:textId="77777777" w:rsidR="00F1705D" w:rsidRDefault="00E87BE9" w:rsidP="003649D0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color w:val="000000"/>
                <w:sz w:val="20"/>
                <w:szCs w:val="20"/>
              </w:rPr>
              <w:t>Powyższe kryteria muszą być spełnione łącznie.</w:t>
            </w:r>
          </w:p>
          <w:p w14:paraId="2C473479" w14:textId="77777777" w:rsidR="005C3002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2B4CD97" w14:textId="77777777" w:rsidR="005C3002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wczesnego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-ujemnego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2D3FE635" w14:textId="77777777" w:rsidR="00A13776" w:rsidRDefault="00A13776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76F5C9E" w14:textId="77777777" w:rsidR="00F1705D" w:rsidRDefault="005C3002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A55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programie obejmuje:</w:t>
            </w:r>
          </w:p>
          <w:p w14:paraId="5640D950" w14:textId="77777777" w:rsidR="00F1705D" w:rsidRDefault="005C3002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okołooperacyjne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</w:p>
          <w:p w14:paraId="10DDA995" w14:textId="77777777" w:rsidR="005C3002" w:rsidRPr="00AE7613" w:rsidRDefault="005C3002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F729A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259C3DA3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75F558D3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nieleczony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05D82D9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(&lt;1%);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71A3C2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 (ISH));</w:t>
            </w:r>
          </w:p>
          <w:p w14:paraId="68A43D04" w14:textId="77777777" w:rsidR="00F1705D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stopień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zaawansowania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T1</w:t>
            </w:r>
            <w:proofErr w:type="spellEnd"/>
            <w:r w:rsidRPr="00AE7613">
              <w:rPr>
                <w:rFonts w:eastAsiaTheme="minorHAnsi"/>
                <w:sz w:val="20"/>
                <w:szCs w:val="20"/>
                <w:lang w:eastAsia="en-US"/>
              </w:rPr>
              <w:t>-4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N1-N2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T2-T4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E7613">
              <w:rPr>
                <w:rFonts w:eastAsiaTheme="minorHAnsi"/>
                <w:sz w:val="20"/>
                <w:szCs w:val="20"/>
                <w:lang w:eastAsia="en-US"/>
              </w:rPr>
              <w:t>N0</w:t>
            </w:r>
            <w:proofErr w:type="spellEnd"/>
          </w:p>
          <w:p w14:paraId="7FC59FE3" w14:textId="77777777" w:rsidR="00F1705D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wartość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LVEF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50%;</w:t>
            </w:r>
          </w:p>
          <w:p w14:paraId="5B93B4B5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4C887DA9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49AA8A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44204A6C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chemioterapii;</w:t>
            </w:r>
          </w:p>
          <w:p w14:paraId="25D3E65B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D38F1B9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autoimmunologicznych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cukrzycy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niedoczynności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tarczycy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suplementacji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hormonalnej,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bielactwa;</w:t>
            </w:r>
          </w:p>
          <w:p w14:paraId="1C9E16AF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77D8EE32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5836DDF6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E127D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7482360" w14:textId="77777777" w:rsidR="00E27F1D" w:rsidRPr="00AE7613" w:rsidRDefault="00E27F1D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581C4CE" w14:textId="77777777" w:rsidR="00F1705D" w:rsidRDefault="00E21754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E68161D" w14:textId="77777777" w:rsidR="00F1705D" w:rsidRDefault="00E21754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4A251301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B56D73F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D8C431C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8F75DFE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4DDA46D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35F9CA8E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ADC8513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8E9FB6E" w14:textId="77777777" w:rsidR="002A79D8" w:rsidRPr="00AE7613" w:rsidRDefault="002A79D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35F500E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A8ED931" w14:textId="77777777" w:rsidR="00F1705D" w:rsidRPr="00FB6963" w:rsidRDefault="0063355B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52EF7CD" w14:textId="50B3E100" w:rsidR="00F1705D" w:rsidRDefault="00AB2520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przerzutowego raka piersi </w:t>
            </w:r>
            <w:proofErr w:type="spellStart"/>
            <w:r w:rsidRPr="00DE234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234D">
              <w:rPr>
                <w:rFonts w:ascii="Times New Roman" w:hAnsi="Times New Roman" w:cs="Times New Roman"/>
                <w:sz w:val="20"/>
                <w:szCs w:val="20"/>
              </w:rPr>
              <w:t>derukstekan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(II lub III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IV 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>lini</w:t>
            </w:r>
            <w:r w:rsidR="00C4629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leczenia anty-HER2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przerzutowego raka piersi)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E56CDB" w14:textId="77777777" w:rsidR="00471D46" w:rsidRPr="00AE7613" w:rsidRDefault="00471D46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DF149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296E74A8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0D7E2388" w14:textId="77777777" w:rsidR="00F1705D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25CB5C" w14:textId="77777777" w:rsidR="00E21754" w:rsidRPr="00AE7613" w:rsidRDefault="00E21754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F74FAE" w14:textId="77777777" w:rsidR="00F1705D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31B89616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11629599" w14:textId="77777777" w:rsidR="00F1705D" w:rsidRDefault="00D96D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0E11CCA0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E3D8E2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4F04503C" w14:textId="77777777" w:rsidR="00F1705D" w:rsidRDefault="0067364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386EA7B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DE64FA" w14:textId="77777777" w:rsidR="00F1705D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3D47AB4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974017E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9F7CB" w14:textId="77777777" w:rsidR="004D1FAC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6540959" w14:textId="77777777" w:rsidR="00555F20" w:rsidRPr="00AE7613" w:rsidRDefault="00555F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79D09" w14:textId="77777777" w:rsidR="00F1705D" w:rsidRDefault="00A900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65025EF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BCBF620" w14:textId="77777777" w:rsidR="00A900FD" w:rsidRPr="00AE7613" w:rsidRDefault="00D451F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AADFB38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F8B8C21" w14:textId="77777777" w:rsidR="00582275" w:rsidRPr="00AE7613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78BA056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hormonowrażliwego</w:t>
            </w:r>
            <w:proofErr w:type="spellEnd"/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A2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292CE9E" w14:textId="77777777" w:rsidR="00582275" w:rsidRPr="00AE7613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50D7943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AC1AF3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AC1AF3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F1CE76" w14:textId="77777777" w:rsidR="00C62C88" w:rsidRPr="00AE7613" w:rsidRDefault="00C62C8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8A7DE1" w14:textId="77777777" w:rsidR="00A900FD" w:rsidRPr="00AE7613" w:rsidRDefault="00A900F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BE1A0" w14:textId="77777777" w:rsidR="00A900FD" w:rsidRPr="00AE7613" w:rsidRDefault="000D0E5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7DDB9C80" w14:textId="77777777" w:rsidR="00F1705D" w:rsidRDefault="008A17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0FD17C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E46CF9" w14:textId="77777777" w:rsidR="00F1705D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03547B9" w14:textId="77777777" w:rsidR="006F4868" w:rsidRPr="00AE7613" w:rsidRDefault="006F486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770D780B" w14:textId="77777777" w:rsidR="00F1705D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C33727" w14:textId="77777777" w:rsidR="00F1705D" w:rsidRDefault="006F486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27C86F" w14:textId="77777777" w:rsidR="00F1705D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27410811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AE7613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proofErr w:type="spellEnd"/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DF416E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A13776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A13776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A31A3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DDD6DB" w14:textId="77777777" w:rsidR="00F1705D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70884461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AE7613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B43F9D" w14:textId="77777777" w:rsidR="00F1705D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3BF945F9" w14:textId="77777777" w:rsidR="00F1705D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FE366C" w14:textId="77777777" w:rsidR="00F1705D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7ACCB1" w14:textId="77777777" w:rsidR="00F1705D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0D0B54A8" w14:textId="77777777" w:rsidR="00F1705D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BB66E9" w14:textId="77777777" w:rsidR="00CC0768" w:rsidRPr="00AE7613" w:rsidRDefault="00A40D9B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AE7613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5E679CC2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47F5AD72" w14:textId="77777777" w:rsidR="00F1705D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0BC8A1" w14:textId="77777777" w:rsidR="00F1705D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1C96A3" w14:textId="77777777" w:rsidR="00F1705D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15CBD65D" w14:textId="77777777" w:rsidR="00B16CE2" w:rsidRPr="00AE7613" w:rsidRDefault="00CC0768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EB7DE2" w14:textId="77777777" w:rsidR="00A40D9B" w:rsidRPr="00AE7613" w:rsidRDefault="00B16CE2" w:rsidP="00D92ACE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proofErr w:type="spellEnd"/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bookmarkEnd w:id="1"/>
          <w:p w14:paraId="3049279C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8163B7" w14:textId="77777777" w:rsidR="00F1705D" w:rsidRDefault="00843101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DB275D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820A5C" w14:textId="77777777" w:rsidR="00B21EAF" w:rsidRPr="00AE7613" w:rsidRDefault="00EA5AD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74D415C1" w14:textId="77777777" w:rsidR="00F1705D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537F02" w14:textId="77777777" w:rsidR="00B21EAF" w:rsidRPr="00AE7613" w:rsidRDefault="00B21EA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3C3257" w14:textId="77777777" w:rsidR="00F1705D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63F971" w14:textId="77777777" w:rsidR="00E7150D" w:rsidRPr="00AE7613" w:rsidRDefault="00E7150D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6765229D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4F796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EDD493" w14:textId="77777777" w:rsidR="00F1705D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</w:p>
          <w:p w14:paraId="1800E8B1" w14:textId="77777777" w:rsidR="00C0353C" w:rsidRPr="00AE7613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EB873E" w14:textId="77777777" w:rsidR="00F1705D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B05786" w14:textId="77777777" w:rsidR="00C0353C" w:rsidRPr="00AE7613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31A8F36" w14:textId="77777777" w:rsidR="00F1705D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5CF4FB28" w14:textId="77777777" w:rsidR="0072614E" w:rsidRPr="00AE7613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542724" w14:textId="77777777" w:rsidR="0072614E" w:rsidRPr="00AE7613" w:rsidRDefault="0072614E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606E6259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BFDB1C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AE7613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2C456E6E" w14:textId="77777777" w:rsidR="00F1705D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7EAA40B5" w14:textId="77777777" w:rsidR="00F1705D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64815C48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BE3229" w14:textId="77777777" w:rsidR="00EA5ADE" w:rsidRPr="00AE7613" w:rsidRDefault="00EA5ADE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74057" w14:textId="77777777" w:rsidR="004D1FAC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2D8BFD3C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EA00A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CE9726" w14:textId="77777777" w:rsidR="00E7571F" w:rsidRPr="00AE7613" w:rsidRDefault="00E7571F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9357E" w14:textId="77777777" w:rsidR="00F1705D" w:rsidRDefault="00BA12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54D5EE73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2E299D27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D7E9FD0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8A550E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 xml:space="preserve">linia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4DC59C58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10BB522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2930B909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76662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15FAED1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2EC27360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4D0EF7B" w14:textId="77777777" w:rsidR="00F1705D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0E803813" w14:textId="77777777" w:rsidR="00D43870" w:rsidRPr="00AE7613" w:rsidRDefault="00D43870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7F3E414" w14:textId="77777777" w:rsidR="00F1705D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1281AF6E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1433D279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1E38B0" w14:textId="77777777" w:rsidR="00F1705D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59716B69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550E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32932D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45251B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31AD24BF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5A67861C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090BF08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BFD6E18" w14:textId="77777777" w:rsidR="00F1705D" w:rsidRDefault="00CE3409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7586E8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); adekwatna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4BC5333E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674BBDDE" w14:textId="77777777" w:rsidR="00D43870" w:rsidRPr="00AE7613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FE083" w14:textId="77777777" w:rsidR="00D43870" w:rsidRPr="00AE7613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09E80" w14:textId="021D0826" w:rsidR="00846E4C" w:rsidRPr="003649D0" w:rsidRDefault="00D43870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1E5D6CC5" w14:textId="77777777" w:rsidR="00850023" w:rsidRPr="00AE7613" w:rsidRDefault="0085002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273FF" w14:textId="77777777" w:rsidR="00F1705D" w:rsidRDefault="0081296A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1C8BA7B" w14:textId="77777777" w:rsidR="00F1705D" w:rsidRDefault="00C463B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2CA6C70B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152EC57B" w14:textId="77777777" w:rsidR="00F1705D" w:rsidRDefault="00285486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5ABEA9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3A5139B7" w14:textId="77777777" w:rsidR="00F1705D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1FFB3E" w14:textId="77777777" w:rsidR="00F1705D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F66A97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1A64005E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096EE401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2DA345" w14:textId="77777777" w:rsidR="00F1705D" w:rsidRDefault="00103604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37DD9503" w14:textId="77777777" w:rsidR="00802CCA" w:rsidRPr="00AE7613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</w:tcPr>
          <w:p w14:paraId="4AAA732C" w14:textId="77777777" w:rsidR="00712EB2" w:rsidRDefault="00712EB2" w:rsidP="00D92A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08114C15" w14:textId="77777777" w:rsidR="00F1705D" w:rsidRDefault="00971D9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AA08717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B6B3F72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C6DB3D4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798CDCB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C1BAF4C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2D20EC8C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31F8CF3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C6F3B2A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3DA1E2" w14:textId="77777777" w:rsidR="00971D9B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B25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783CF5" w14:textId="77777777" w:rsidR="00AB2520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76563" w14:textId="77777777" w:rsidR="00AB2520" w:rsidRPr="00AE7613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Pr="00AB25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3,6 mg/kg </w:t>
            </w:r>
            <w:proofErr w:type="spellStart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9E4FDF">
              <w:rPr>
                <w:rFonts w:ascii="Times New Roman" w:hAnsi="Times New Roman" w:cs="Times New Roman"/>
                <w:sz w:val="20"/>
                <w:szCs w:val="20"/>
              </w:rPr>
              <w:t>. (co 3 tygodnie)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894D78" w14:textId="77777777" w:rsidR="00FA2F38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6DF1E0" w14:textId="77777777" w:rsidR="00FA2F38" w:rsidRPr="00AE7613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2E4ECD4" w14:textId="77777777" w:rsidR="00FA2F38" w:rsidRPr="00AE7613" w:rsidRDefault="00FA2F3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E3B50" w14:textId="77777777" w:rsidR="00EC5D86" w:rsidRPr="00AE7613" w:rsidRDefault="00EC5D86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1162BAD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9684DB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73ACE2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proofErr w:type="spellEnd"/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BC4686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EA563A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FAB6D9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45A37C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DA13E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1D3F8F28" w14:textId="77777777" w:rsidR="0040465B" w:rsidRPr="00AE7613" w:rsidRDefault="0040465B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AE7613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2A63BDE3" w14:textId="77777777" w:rsidR="0040465B" w:rsidRPr="00AE7613" w:rsidRDefault="0040465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F786476" w14:textId="77777777" w:rsidR="008363E1" w:rsidRPr="00AE7613" w:rsidRDefault="00626F2A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8B2E925" w14:textId="77777777" w:rsidR="008363E1" w:rsidRPr="00AE7613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A707F5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3CE921D6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3F4CB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3692F8B9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C970A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E1B3F8F" w14:textId="77777777" w:rsidR="0040465B" w:rsidRPr="00AE7613" w:rsidRDefault="0040465B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662447D" w14:textId="77777777" w:rsidR="0040465B" w:rsidRPr="00AE7613" w:rsidRDefault="00F2763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AE7613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EA4CB3" w14:textId="77777777" w:rsidR="0040465B" w:rsidRPr="00AE7613" w:rsidRDefault="00626F2A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8D27F9" w14:textId="77777777" w:rsidR="008363E1" w:rsidRPr="00AE7613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35718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71132E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98EEC" w14:textId="77777777" w:rsidR="00AB086A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ECCAF3" w14:textId="77777777" w:rsidR="009A7533" w:rsidRPr="00AE7613" w:rsidRDefault="009A753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2B69B" w14:textId="77777777" w:rsidR="0016207C" w:rsidRPr="00AE7613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uwantowym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10940232" w14:textId="77777777" w:rsidR="0016207C" w:rsidRPr="00AE7613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1925003F" w14:textId="77777777" w:rsidR="0016207C" w:rsidRPr="00AE7613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B8740B0" w14:textId="77777777" w:rsidR="0016207C" w:rsidRPr="00AE7613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C96492" w14:textId="77777777" w:rsidR="0016207C" w:rsidRPr="00AE7613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F241D91" w14:textId="77777777" w:rsidR="0016207C" w:rsidRPr="00AE7613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8F0610" w14:textId="77777777" w:rsidR="0016207C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54E86B1A" w14:textId="77777777" w:rsidR="00D92ACE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1B5BC" w14:textId="77777777" w:rsidR="00F1705D" w:rsidRDefault="0063355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</w:t>
            </w:r>
            <w:r w:rsidR="00712E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HER2-ujemnego i potrójnie ujemnego raka piersi</w:t>
            </w:r>
          </w:p>
          <w:p w14:paraId="0685DFB7" w14:textId="77777777" w:rsidR="00712EB2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 xml:space="preserve">Zalecana maksymalna dobowa dawka </w:t>
            </w:r>
            <w:proofErr w:type="spellStart"/>
            <w:r w:rsidRPr="003F658E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12EB2">
              <w:rPr>
                <w:rFonts w:ascii="Times New Roman" w:hAnsi="Times New Roman" w:cs="Times New Roman"/>
                <w:sz w:val="20"/>
                <w:szCs w:val="20"/>
              </w:rPr>
              <w:t xml:space="preserve">:  600 mg/dobę (codziennie). </w:t>
            </w:r>
          </w:p>
          <w:p w14:paraId="58E4310B" w14:textId="77777777" w:rsidR="00F1705D" w:rsidRDefault="00712EB2" w:rsidP="00FB696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 xml:space="preserve">Należy rozpocząć nie później niż w ciągu 12 tygodni od zakończenia ostatniej terapii przeciwnowotworowej. </w:t>
            </w:r>
          </w:p>
          <w:p w14:paraId="453A4A5D" w14:textId="77777777" w:rsidR="00712EB2" w:rsidRDefault="006335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 xml:space="preserve">Możliwe jest jednoczesne stosowanie </w:t>
            </w:r>
            <w:proofErr w:type="spellStart"/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FB6963">
              <w:rPr>
                <w:rFonts w:ascii="Times New Roman" w:hAnsi="Times New Roman" w:cs="Times New Roman"/>
                <w:sz w:val="20"/>
                <w:szCs w:val="20"/>
              </w:rPr>
              <w:t xml:space="preserve"> z hormonoterapią.</w:t>
            </w:r>
          </w:p>
          <w:p w14:paraId="6843A3AE" w14:textId="77777777" w:rsidR="00F1705D" w:rsidRPr="00FB6963" w:rsidRDefault="00712EB2" w:rsidP="00FB69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 w:rsidR="0017268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5EB3882" w14:textId="77777777" w:rsidR="00F1705D" w:rsidRPr="00FB6963" w:rsidRDefault="0063355B" w:rsidP="00FB6963">
            <w:pPr>
              <w:pStyle w:val="Akapitzlist"/>
              <w:numPr>
                <w:ilvl w:val="2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2BE39517" w14:textId="77777777" w:rsidR="00712EB2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>Leczenie trwa łącznie 13 cykli (cykl trwa 28 dni)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54DB603B" w14:textId="77777777" w:rsidR="00712EB2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79F35" w14:textId="77777777" w:rsidR="00F1705D" w:rsidRPr="00FB6963" w:rsidRDefault="00712EB2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6273A40C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fazie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09693A80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F607AF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Całkowity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aktywnej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przedoperacyjnym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neoadjuwantowym</w:t>
            </w:r>
            <w:proofErr w:type="spellEnd"/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chemioterapią:</w:t>
            </w:r>
          </w:p>
          <w:p w14:paraId="0D918D7C" w14:textId="77777777" w:rsidR="00712EB2" w:rsidRPr="00AE7613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23ED7769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0AB4CF" w14:textId="77777777" w:rsidR="00712EB2" w:rsidRPr="00AE7613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stwierdzenia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wykluczającej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</w:p>
          <w:p w14:paraId="7DC755D7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33527D8" w14:textId="77777777" w:rsidR="00712EB2" w:rsidRPr="00AE7613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0946645C" w14:textId="77777777" w:rsidR="00712EB2" w:rsidRPr="00AE7613" w:rsidRDefault="00712EB2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84DD8F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034A35F" w14:textId="77777777" w:rsidR="00712EB2" w:rsidRPr="00AE7613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3E6C470F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AEED23B" w14:textId="77777777" w:rsidR="00712EB2" w:rsidRPr="00AE7613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</w:p>
          <w:p w14:paraId="1703FBBA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0EDCBD54" w14:textId="77777777" w:rsidR="00712EB2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58002E" w14:textId="77777777" w:rsidR="00F1705D" w:rsidRDefault="00F1705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BB52F" w14:textId="77777777" w:rsidR="00712EB2" w:rsidRPr="00FB6963" w:rsidRDefault="00712EB2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odpowiedniego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832A90F" w14:textId="77777777" w:rsidR="00712EB2" w:rsidRPr="009E457E" w:rsidRDefault="00712EB2" w:rsidP="00D92AC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5A8C8E3F" w14:textId="77777777" w:rsidR="00712EB2" w:rsidRPr="009E457E" w:rsidRDefault="00712EB2" w:rsidP="00D92AC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5D39F302" w14:textId="77777777" w:rsidR="00F1705D" w:rsidRDefault="00712EB2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32C71B1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przedoperacyjne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chemioterapii.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pooperacyjne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pooperacyjnym,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istnieją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radioterapii.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B123E3C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</w:t>
            </w:r>
            <w:r w:rsidR="00D92ACE">
              <w:rPr>
                <w:rFonts w:ascii="Times New Roman" w:hAnsi="Times New Roman" w:cs="Times New Roman"/>
                <w:sz w:val="20"/>
                <w:szCs w:val="20"/>
              </w:rPr>
              <w:t>. 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5EA60B4" w14:textId="77777777" w:rsidR="00F2763F" w:rsidRPr="00AE7613" w:rsidRDefault="00F2763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8CE296" w14:textId="77777777" w:rsidR="00FB5526" w:rsidRPr="00AE7613" w:rsidRDefault="00FB5526" w:rsidP="00D92A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26DD5E73" w14:textId="77777777" w:rsidR="001707CC" w:rsidRPr="00AE7613" w:rsidRDefault="00FB5526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157D1FF9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C403DCA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78F6046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26D3ADD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3781D89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0211BDCE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B41AD" w14:textId="77777777" w:rsidR="00852B9E" w:rsidRPr="00AE7613" w:rsidRDefault="00852B9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2E0392BF" w14:textId="77777777" w:rsidR="00852B9E" w:rsidRPr="00AE7613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</w:p>
          <w:p w14:paraId="5A216E65" w14:textId="77777777" w:rsidR="00852B9E" w:rsidRPr="00AE7613" w:rsidRDefault="00852B9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F94FDB2" w14:textId="77777777" w:rsidR="00852B9E" w:rsidRPr="00AE7613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</w:p>
          <w:p w14:paraId="21D569D0" w14:textId="77777777" w:rsidR="00EC5D86" w:rsidRPr="00AE7613" w:rsidRDefault="00EC5D86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349035E" w14:textId="77777777" w:rsidR="00852B9E" w:rsidRPr="00AE7613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</w:p>
          <w:p w14:paraId="7312E677" w14:textId="77777777" w:rsidR="00EC5D86" w:rsidRPr="00AE7613" w:rsidRDefault="00EC5D86" w:rsidP="00D92ACE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061B6" w14:textId="77777777" w:rsidR="00FB5526" w:rsidRPr="00AE7613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514DF8" w14:textId="77777777" w:rsidR="00FB5526" w:rsidRPr="00AE7613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ertuzumabu</w:t>
            </w:r>
            <w:proofErr w:type="spellEnd"/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290E8A" w14:textId="77777777" w:rsidR="00FB5526" w:rsidRPr="00AE7613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selu</w:t>
            </w:r>
            <w:proofErr w:type="spellEnd"/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75-</w:t>
            </w:r>
            <w:proofErr w:type="spellStart"/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100mg</w:t>
            </w:r>
            <w:proofErr w:type="spellEnd"/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41FB042" w14:textId="77777777" w:rsidR="00FB5526" w:rsidRPr="00AE7613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98BA7" w14:textId="77777777" w:rsidR="00FB5526" w:rsidRPr="00AE7613" w:rsidRDefault="0083631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4F2F3792" w14:textId="77777777" w:rsidR="00FB5526" w:rsidRPr="00AE7613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3B4D4" w14:textId="77777777" w:rsidR="00FB5526" w:rsidRPr="00AE7613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2EED0C39" w14:textId="77777777" w:rsidR="00257206" w:rsidRPr="00AE7613" w:rsidRDefault="0025720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AAD10" w14:textId="77777777" w:rsidR="00127F97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lapatynibu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CE2E27" w14:textId="77777777" w:rsidR="00FB5526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25CD8B3A" w14:textId="77777777" w:rsidR="00FB5526" w:rsidRPr="00AE7613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62E99D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A9190E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3312F0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6A6DC1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018CF5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978FB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66F31730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D7CC2" w14:textId="77777777" w:rsidR="00D96DEC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6437DCAA" w14:textId="77777777" w:rsidR="00AB2520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95CD1" w14:textId="77777777" w:rsidR="00AB2520" w:rsidRPr="00AB2520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520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derukstekanu</w:t>
            </w:r>
            <w:proofErr w:type="spellEnd"/>
            <w:r w:rsidRPr="00AB2520">
              <w:rPr>
                <w:rFonts w:ascii="Times New Roman" w:hAnsi="Times New Roman" w:cs="Times New Roman"/>
                <w:sz w:val="20"/>
                <w:szCs w:val="20"/>
              </w:rPr>
              <w:t xml:space="preserve">: 5,4 mg/kg </w:t>
            </w:r>
            <w:proofErr w:type="spellStart"/>
            <w:r w:rsidRPr="00AB2520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AB2520">
              <w:rPr>
                <w:rFonts w:ascii="Times New Roman" w:hAnsi="Times New Roman" w:cs="Times New Roman"/>
                <w:sz w:val="20"/>
                <w:szCs w:val="20"/>
              </w:rPr>
              <w:t>. (co 3 tygodnie).</w:t>
            </w:r>
          </w:p>
          <w:p w14:paraId="3E0AAFD1" w14:textId="77777777" w:rsidR="001746F7" w:rsidRPr="00AE7613" w:rsidRDefault="001746F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07C25D" w14:textId="77777777" w:rsidR="00642011" w:rsidRDefault="0060787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33B830AB" w14:textId="77777777" w:rsidR="00F1705D" w:rsidRDefault="00D92ACE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C2FE384" w14:textId="77777777" w:rsidR="00D92ACE" w:rsidRPr="00AE7613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  <w:p w14:paraId="14381F2A" w14:textId="77777777" w:rsidR="00D92ACE" w:rsidRPr="00AE7613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04A6D" w14:textId="77777777" w:rsidR="00802CCA" w:rsidRPr="00AE7613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40BF8" w14:textId="77777777" w:rsidR="00127F97" w:rsidRPr="00AE7613" w:rsidRDefault="00127F97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1A4BF0CE" w14:textId="77777777" w:rsidR="00CF560C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61BBCA" w14:textId="77777777" w:rsidR="00A70DDF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600mg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6E33FD" w14:textId="77777777" w:rsidR="00E21754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3CCD3146" w14:textId="77777777" w:rsidR="00BE59E7" w:rsidRPr="00AE7613" w:rsidRDefault="00DA6819" w:rsidP="00D92ACE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proofErr w:type="spellEnd"/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26E82565" w14:textId="77777777" w:rsidR="000A3C7C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EF5ACD" w14:textId="77777777" w:rsidR="0017268F" w:rsidRPr="0017268F" w:rsidRDefault="0017268F" w:rsidP="00D92A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proofErr w:type="spellStart"/>
            <w:r w:rsidR="0063355B" w:rsidRPr="00FB6963">
              <w:rPr>
                <w:rFonts w:ascii="Times New Roman" w:hAnsi="Times New Roman"/>
                <w:sz w:val="20"/>
                <w:szCs w:val="20"/>
              </w:rPr>
              <w:t>olaparybu</w:t>
            </w:r>
            <w:proofErr w:type="spellEnd"/>
            <w:r w:rsidRPr="003863B1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237B2C69" w14:textId="77777777" w:rsidR="00E21754" w:rsidRPr="00AE7613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482B" w:rsidRPr="00AE7613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AE7613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500mg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638BFD" w14:textId="77777777" w:rsidR="00CF560C" w:rsidRPr="00AE7613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50FE4C90" w14:textId="77777777" w:rsidR="00CF560C" w:rsidRPr="00AE7613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etrozol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2,5mg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/dobę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CC207B" w14:textId="77777777" w:rsidR="00CF560C" w:rsidRPr="00AE7613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nastrozol</w:t>
            </w:r>
            <w:proofErr w:type="spellEnd"/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06E54E" w14:textId="77777777" w:rsidR="00CF560C" w:rsidRPr="00AE7613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9793EA" w14:textId="77777777" w:rsidR="00802CCA" w:rsidRPr="00AE7613" w:rsidRDefault="00802CCA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242CA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kontynuowana.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3C98FD80" w14:textId="77777777" w:rsidR="00D63865" w:rsidRPr="00AE7613" w:rsidRDefault="00D63865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1E13B" w14:textId="77777777" w:rsidR="00606E24" w:rsidRPr="00AE7613" w:rsidRDefault="0025457E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aktualną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7E6A6414" w14:textId="77777777" w:rsidR="00802CCA" w:rsidRPr="00AE7613" w:rsidRDefault="00802CCA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528E56B0" w14:textId="77777777" w:rsidR="00606E24" w:rsidRPr="00AE7613" w:rsidRDefault="00606E24" w:rsidP="00D92ACE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9A08EDB" w14:textId="77777777" w:rsidR="001D167A" w:rsidRPr="00AE7613" w:rsidRDefault="00606E2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A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5F953721" w14:textId="77777777" w:rsidR="001D167A" w:rsidRPr="00AE7613" w:rsidRDefault="001D167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0E971" w14:textId="77777777" w:rsidR="001D167A" w:rsidRPr="00AE7613" w:rsidRDefault="007E124D" w:rsidP="00D92ACE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8B888F0" w14:textId="77777777" w:rsidR="007E124D" w:rsidRPr="00AE7613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E7613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proofErr w:type="spellEnd"/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3A6A46D0" w14:textId="77777777" w:rsidR="007E124D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E7613">
              <w:rPr>
                <w:rFonts w:eastAsiaTheme="minorHAnsi"/>
                <w:sz w:val="20"/>
                <w:szCs w:val="20"/>
                <w:lang w:val="pl-PL"/>
              </w:rPr>
              <w:t>talazoparybu</w:t>
            </w:r>
            <w:proofErr w:type="spellEnd"/>
            <w:r w:rsidRPr="00AE7613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1A2B7B6C" w14:textId="77777777" w:rsidR="00F1705D" w:rsidRDefault="0017268F" w:rsidP="00FB6963">
            <w:pPr>
              <w:spacing w:after="60"/>
              <w:jc w:val="both"/>
              <w:rPr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proofErr w:type="spellStart"/>
            <w:r w:rsidR="0063355B" w:rsidRPr="00FB6963">
              <w:rPr>
                <w:rFonts w:ascii="Times New Roman" w:hAnsi="Times New Roman"/>
                <w:sz w:val="20"/>
                <w:szCs w:val="20"/>
              </w:rPr>
              <w:t>olaparybu</w:t>
            </w:r>
            <w:proofErr w:type="spellEnd"/>
            <w:r w:rsidRPr="003863B1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112A9A41" w14:textId="77777777" w:rsidR="007E124D" w:rsidRPr="00AE7613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E7613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proofErr w:type="spellEnd"/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E7613">
              <w:rPr>
                <w:rFonts w:eastAsiaTheme="minorHAnsi"/>
                <w:sz w:val="20"/>
                <w:szCs w:val="20"/>
                <w:lang w:val="pl-PL"/>
              </w:rPr>
              <w:t>gowitekanu</w:t>
            </w:r>
            <w:proofErr w:type="spellEnd"/>
            <w:r w:rsidRPr="00AE7613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2A6C760C" w14:textId="77777777" w:rsidR="00802CCA" w:rsidRPr="00AE7613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97A4F" w14:textId="77777777" w:rsidR="007E124D" w:rsidRPr="00AE7613" w:rsidRDefault="007E124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Szczegóły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D5FB46" w14:textId="77777777" w:rsidR="001D167A" w:rsidRPr="00AE7613" w:rsidRDefault="001D167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6659" w14:textId="77777777" w:rsidR="007E124D" w:rsidRPr="00AE7613" w:rsidRDefault="007E124D" w:rsidP="00D92ACE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044DD6" w14:textId="77777777" w:rsidR="004D4CE2" w:rsidRPr="00AE7613" w:rsidRDefault="007E124D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wyłączenia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ust</w:t>
            </w:r>
            <w:r w:rsidR="00D92ACE">
              <w:rPr>
                <w:rFonts w:eastAsiaTheme="minorHAnsi"/>
                <w:sz w:val="20"/>
                <w:szCs w:val="20"/>
                <w:lang w:val="pl-PL"/>
              </w:rPr>
              <w:t>. 3.</w:t>
            </w:r>
          </w:p>
          <w:p w14:paraId="7A2AB4A0" w14:textId="77777777" w:rsidR="007E124D" w:rsidRPr="00AE7613" w:rsidRDefault="007E124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604C92" w14:textId="77777777" w:rsidR="00DA1041" w:rsidRPr="00AE7613" w:rsidRDefault="00DA104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306663EB" w14:textId="77777777" w:rsidR="00F1705D" w:rsidRDefault="00AD083C" w:rsidP="00CD673C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6313F0E8" w14:textId="77777777" w:rsidR="00F1705D" w:rsidRDefault="00E302B5" w:rsidP="00FB6963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F0DD983" w14:textId="77777777" w:rsidR="00F1705D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215E3947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C82598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571907" w14:textId="77777777" w:rsidR="00E302B5" w:rsidRPr="00AE7613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67EF19" w14:textId="77777777" w:rsidR="00E302B5" w:rsidRPr="00AE7613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4C457B" w14:textId="77777777" w:rsidR="00E302B5" w:rsidRPr="00AE7613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1270C0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7C5342" w14:textId="77777777" w:rsidR="00E302B5" w:rsidRPr="00AE7613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92FF30" w14:textId="77777777" w:rsidR="00E302B5" w:rsidRPr="00AE7613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54CA26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DBFB6D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E7613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498CD2" w14:textId="77777777" w:rsidR="006115AE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AC1076" w14:textId="77777777" w:rsidR="00CA2A5C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002CDF" w14:textId="77777777" w:rsidR="00CD3DB8" w:rsidRPr="00AE7613" w:rsidRDefault="00CD3DB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C65514" w14:textId="77777777" w:rsidR="00F2763F" w:rsidRPr="00AE7613" w:rsidRDefault="00F2763F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ADA05" w14:textId="77777777" w:rsidR="00F1705D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564AF876" w14:textId="77777777" w:rsidR="00E302B5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2AB072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BFB645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2C03907" w14:textId="77777777" w:rsidR="00E302B5" w:rsidRPr="00AE7613" w:rsidRDefault="00BF0632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335891B8" w14:textId="77777777" w:rsidR="00E302B5" w:rsidRPr="00AE7613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</w:p>
          <w:p w14:paraId="67DB00F4" w14:textId="77777777" w:rsidR="00E302B5" w:rsidRPr="00AE7613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</w:p>
          <w:p w14:paraId="57C08AEC" w14:textId="77777777" w:rsidR="009E4FDF" w:rsidRPr="00AE7613" w:rsidRDefault="00E302B5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9E6A5C" w14:textId="77777777" w:rsidR="00E302B5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tygodni:</w:t>
            </w:r>
          </w:p>
          <w:p w14:paraId="2863111B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40FCC" w14:textId="77777777" w:rsidR="00E302B5" w:rsidRPr="00AE7613" w:rsidRDefault="00E302B5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7A2F00E3" w14:textId="77777777" w:rsidR="00E302B5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7842075D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216137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539B3A25" w14:textId="77777777" w:rsidR="009E4FDF" w:rsidRDefault="009E4FDF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27C01" w14:textId="77777777" w:rsidR="00F1705D" w:rsidRDefault="0063355B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wczesnego, </w:t>
            </w:r>
            <w:r w:rsidR="00AD083C" w:rsidRP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</w:t>
            </w:r>
            <w:r w:rsid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ego i potrójnie ujemnego</w:t>
            </w:r>
            <w:r w:rsidR="00AD083C" w:rsidRP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rak</w:t>
            </w:r>
            <w:r w:rsid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piersi</w:t>
            </w:r>
            <w:r w:rsidR="00AD083C" w:rsidRP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obecnością mutacji w genach BRCA</w:t>
            </w:r>
          </w:p>
          <w:p w14:paraId="312BEEAF" w14:textId="77777777" w:rsidR="00F1705D" w:rsidRPr="00FB6963" w:rsidRDefault="00AD083C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D706B83" w14:textId="7D15BFBE" w:rsidR="00F1705D" w:rsidRDefault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potwierdzenie obecności</w:t>
            </w:r>
            <w:r w:rsidR="00AD083C" w:rsidRPr="003863B1">
              <w:rPr>
                <w:rFonts w:ascii="Times New Roman" w:hAnsi="Times New Roman"/>
                <w:sz w:val="20"/>
                <w:szCs w:val="20"/>
              </w:rPr>
              <w:t xml:space="preserve"> mutacji </w:t>
            </w:r>
            <w:proofErr w:type="spellStart"/>
            <w:r w:rsidR="00AD083C" w:rsidRPr="003863B1">
              <w:rPr>
                <w:rFonts w:ascii="Times New Roman" w:hAnsi="Times New Roman"/>
                <w:sz w:val="20"/>
                <w:szCs w:val="20"/>
              </w:rPr>
              <w:t>germinalnej</w:t>
            </w:r>
            <w:proofErr w:type="spellEnd"/>
            <w:r w:rsidR="00AD083C" w:rsidRPr="003863B1">
              <w:rPr>
                <w:rFonts w:ascii="Times New Roman" w:hAnsi="Times New Roman"/>
                <w:sz w:val="20"/>
                <w:szCs w:val="20"/>
              </w:rPr>
              <w:t xml:space="preserve"> BRCA1/2 (możliwe wykorzystanie badania wykonanego wcześniej)</w:t>
            </w:r>
            <w:r w:rsidR="004440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CD98CC7" w14:textId="5047A8A4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potwierdzenie </w:t>
            </w:r>
            <w:r w:rsidR="00FB6963" w:rsidRPr="00FB6963">
              <w:rPr>
                <w:rFonts w:ascii="Times New Roman" w:hAnsi="Times New Roman"/>
                <w:sz w:val="20"/>
                <w:szCs w:val="20"/>
              </w:rPr>
              <w:t>braku ekspresji receptora HER2 i określenie stanu steroidowych receptorów hormonalnych</w:t>
            </w:r>
            <w:r w:rsidR="00FB69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FAA8CE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lastRenderedPageBreak/>
              <w:t>morfologia krwi z rozmazem;</w:t>
            </w:r>
          </w:p>
          <w:p w14:paraId="4B2A99A3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stężenie kreatyniny;</w:t>
            </w:r>
          </w:p>
          <w:p w14:paraId="3C54E1E6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stężenie bilirubiny;</w:t>
            </w:r>
          </w:p>
          <w:p w14:paraId="1F6B0CAC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aktywność AlAT;</w:t>
            </w:r>
          </w:p>
          <w:p w14:paraId="68D1ED56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aktywność AspAT;</w:t>
            </w:r>
          </w:p>
          <w:p w14:paraId="588AE7B0" w14:textId="77777777" w:rsidR="00F1705D" w:rsidRDefault="0063355B" w:rsidP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USG lub tomografia komputerowa jamy brzusznej lub tomografia komputerowa jamy brzusznej i miednicy</w:t>
            </w:r>
            <w:r w:rsidR="004440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AD083C" w:rsidRPr="003863B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E736E8" w14:textId="77777777" w:rsidR="00F1705D" w:rsidRDefault="00AD083C" w:rsidP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RTG lub tomografia komputerowa klatki piersiowej</w:t>
            </w:r>
            <w:r w:rsidR="004440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Pr="003863B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83258AB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scyntygrafia kośćca</w:t>
            </w:r>
            <w:r w:rsidR="004440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8071A8" w14:textId="77777777" w:rsidR="00F1705D" w:rsidRDefault="0044400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20953C8F" w14:textId="77777777" w:rsidR="00F1705D" w:rsidRPr="00FB6963" w:rsidRDefault="00F1705D" w:rsidP="00FB696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840FD9D" w14:textId="77777777" w:rsidR="00F1705D" w:rsidRDefault="00B620BA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104E2457" w14:textId="77777777" w:rsidR="00F1705D" w:rsidRPr="00FB6963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 xml:space="preserve">morfologia krwi z rozmazem; </w:t>
            </w:r>
          </w:p>
          <w:p w14:paraId="20D4C8D7" w14:textId="77777777" w:rsidR="00F1705D" w:rsidRPr="00FB6963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oznaczenie stężenia w surowicy:</w:t>
            </w:r>
          </w:p>
          <w:p w14:paraId="1E29B287" w14:textId="77777777" w:rsidR="00F1705D" w:rsidRPr="00FB6963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40B2B764" w14:textId="77777777" w:rsidR="00F1705D" w:rsidRPr="00FB6963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233242B5" w14:textId="77777777" w:rsidR="00F1705D" w:rsidRPr="00FB6963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oznaczenie aktywności transaminaz (AspAT, AlAT);</w:t>
            </w:r>
          </w:p>
          <w:p w14:paraId="5A35E940" w14:textId="77777777" w:rsidR="00F1705D" w:rsidRPr="00FB6963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614231BC" w14:textId="77777777" w:rsidR="00F1705D" w:rsidRDefault="00F1705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37AF24E" w14:textId="77777777" w:rsidR="00F1705D" w:rsidRDefault="0063355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Badania wykonuje się przed rozpoczęciem każdego cyklu</w:t>
            </w:r>
            <w:r w:rsidR="00B620BA">
              <w:rPr>
                <w:rFonts w:ascii="Times New Roman" w:hAnsi="Times New Roman"/>
                <w:sz w:val="20"/>
                <w:szCs w:val="20"/>
              </w:rPr>
              <w:t xml:space="preserve"> leczenia </w:t>
            </w:r>
            <w:proofErr w:type="spellStart"/>
            <w:r w:rsidR="00B620BA">
              <w:rPr>
                <w:rFonts w:ascii="Times New Roman" w:hAnsi="Times New Roman"/>
                <w:sz w:val="20"/>
                <w:szCs w:val="20"/>
              </w:rPr>
              <w:t>olaparybem</w:t>
            </w:r>
            <w:proofErr w:type="spellEnd"/>
            <w:r w:rsidR="00B620B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AE8196" w14:textId="77777777" w:rsidR="00F1705D" w:rsidRDefault="00F1705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7AE3CDE" w14:textId="77777777" w:rsidR="00F1705D" w:rsidRDefault="002129EB" w:rsidP="00FB6963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226207A3" w14:textId="77777777" w:rsidR="00F1705D" w:rsidRDefault="002129EB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25CBBCC7" w14:textId="53831070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15D97D" w14:textId="1F88D824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4556EB" w14:textId="13287E02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244C49" w14:textId="52504003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8F8155" w14:textId="0C46CD54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617A9D" w14:textId="12A67F3D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A99F9E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5D4E49" w14:textId="186C0009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9110D9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MR,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tygodni;</w:t>
            </w:r>
          </w:p>
          <w:p w14:paraId="154035DE" w14:textId="6D1175FB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5F41BD" w14:textId="4D702C6B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69E36C" w14:textId="2F3F639C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46986D" w14:textId="18BBAC08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52608C" w14:textId="510608B5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4E9142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pachowych,</w:t>
            </w:r>
          </w:p>
          <w:p w14:paraId="5C2765DE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6E7BEE21" w14:textId="77777777" w:rsidR="002129EB" w:rsidRPr="00AE7613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236B6B31" w14:textId="77777777" w:rsidR="00F1705D" w:rsidRDefault="002129EB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AFBEC5F" w14:textId="77777777" w:rsidR="002129EB" w:rsidRPr="00AE7613" w:rsidRDefault="002129EB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laboratoryjne:</w:t>
            </w:r>
          </w:p>
          <w:p w14:paraId="5DA7F3D8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0F427EB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0503CC69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AlAT;</w:t>
            </w:r>
          </w:p>
          <w:p w14:paraId="7DC585C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AspAT;</w:t>
            </w:r>
          </w:p>
          <w:p w14:paraId="1DA9EE8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B304C3F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E9BDE4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glikemii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czczo.</w:t>
            </w:r>
          </w:p>
          <w:p w14:paraId="7026A5B9" w14:textId="77777777" w:rsidR="002129EB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B09881" w14:textId="77777777" w:rsidR="002129EB" w:rsidRPr="00AE7613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2D74EBA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a-e,</w:t>
            </w:r>
          </w:p>
          <w:p w14:paraId="08F40273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f-g,</w:t>
            </w:r>
          </w:p>
          <w:p w14:paraId="140EB731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a-g;</w:t>
            </w:r>
          </w:p>
          <w:p w14:paraId="13969C3C" w14:textId="77777777" w:rsidR="002129EB" w:rsidRPr="00AE7613" w:rsidRDefault="002129EB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(wybór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obrazowej):</w:t>
            </w:r>
          </w:p>
          <w:p w14:paraId="13F45D93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serca,</w:t>
            </w:r>
          </w:p>
          <w:p w14:paraId="20B6979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pachowymi.</w:t>
            </w:r>
          </w:p>
          <w:p w14:paraId="17E21E66" w14:textId="77777777" w:rsidR="002129EB" w:rsidRDefault="002129EB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4FEC7" w14:textId="77777777" w:rsidR="002129EB" w:rsidRPr="00AE7613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29EFC53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(częściej,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gdy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wskazania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kliniczne)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a-b.</w:t>
            </w:r>
          </w:p>
          <w:p w14:paraId="1842C270" w14:textId="77777777" w:rsidR="002129EB" w:rsidRPr="00AE7613" w:rsidRDefault="002129EB" w:rsidP="00D92ACE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42A04B3" w14:textId="77777777" w:rsidR="002129EB" w:rsidRPr="00FB6963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zamienne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0321D7" w14:textId="77777777" w:rsidR="002129EB" w:rsidRPr="00AE7613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23614A3" w14:textId="77777777" w:rsidR="00F1705D" w:rsidRPr="00FB6963" w:rsidRDefault="00F1705D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2A1D6" w14:textId="77777777" w:rsidR="003F5531" w:rsidRPr="00AE7613" w:rsidRDefault="003F5531" w:rsidP="00D92ACE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8C74285" w14:textId="77777777" w:rsidR="00127F97" w:rsidRPr="00AE7613" w:rsidRDefault="00127F97" w:rsidP="00D92ACE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F4FAF7F" w14:textId="77777777" w:rsidR="00127F97" w:rsidRPr="00AE7613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D26ACB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0C8A69" w14:textId="4D912746" w:rsidR="00E95954" w:rsidRPr="00AE7613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F1112A" w:rsidRPr="00F1112A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268781" w14:textId="77777777" w:rsidR="00E95954" w:rsidRPr="00AE7613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2943E5" w14:textId="77777777" w:rsidR="00861346" w:rsidRPr="00AE7613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4232C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1E6E8D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83E033" w14:textId="77777777" w:rsidR="00127F97" w:rsidRPr="00AE7613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3D0195" w14:textId="77777777" w:rsidR="00127F97" w:rsidRPr="00AE7613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72910A" w14:textId="77777777" w:rsidR="00127F97" w:rsidRPr="00AE7613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32F34A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AC42BC" w14:textId="77777777" w:rsidR="00861346" w:rsidRPr="00AE7613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8912DE" w14:textId="77777777" w:rsidR="008A03D5" w:rsidRPr="00AE7613" w:rsidRDefault="00B95A4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A5B00F" w14:textId="77777777" w:rsidR="00F314BF" w:rsidRPr="00AE7613" w:rsidRDefault="00F314B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0B12"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5FE806" w14:textId="77777777" w:rsidR="00CA2C66" w:rsidRPr="00AE7613" w:rsidRDefault="00CA2C6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54E6FA" w14:textId="77777777" w:rsidR="00127F97" w:rsidRPr="00AE7613" w:rsidRDefault="00D26AC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2DD285" w14:textId="77777777" w:rsidR="00127F97" w:rsidRPr="00AE7613" w:rsidRDefault="00D26AC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C1AF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C1AF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C1A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F22004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C32247" w14:textId="77777777" w:rsidR="00DE2B35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06DC0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34CBE5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7EDC9F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E27DBB" w14:textId="77777777" w:rsidR="00127F97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37FE2ABA" w14:textId="77777777" w:rsidR="00AE65B9" w:rsidRPr="00AE7613" w:rsidRDefault="00AE65B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9F976" w14:textId="77777777" w:rsidR="00127F97" w:rsidRPr="00AE7613" w:rsidRDefault="00127F97" w:rsidP="00D92ACE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5A4002D" w14:textId="77777777" w:rsidR="00127F97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AE7613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7B629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040774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9ECEB2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6C6F88" w14:textId="77777777" w:rsidR="00127F97" w:rsidRPr="00AE7613" w:rsidRDefault="00CA2C6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FFB1AF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507B63" w14:textId="77777777" w:rsidR="003C057F" w:rsidRPr="00AE7613" w:rsidRDefault="003C057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9A65B2" w14:textId="77777777" w:rsidR="003C057F" w:rsidRPr="00AE7613" w:rsidRDefault="003C057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3C4A9D" w14:textId="77777777" w:rsidR="00F9775A" w:rsidRPr="00AE7613" w:rsidRDefault="00F9775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4/6,</w:t>
            </w:r>
          </w:p>
          <w:p w14:paraId="5207208E" w14:textId="77777777" w:rsidR="00EF3DAA" w:rsidRPr="00AE7613" w:rsidRDefault="00C62C8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78D846" w14:textId="77777777" w:rsidR="00C62C88" w:rsidRPr="00AE7613" w:rsidRDefault="008B04D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0DFCD4" w14:textId="77777777" w:rsidR="00794B51" w:rsidRDefault="00794B51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A90D2F" w14:textId="77777777" w:rsidR="00B817BE" w:rsidRPr="00AE7613" w:rsidRDefault="00B817B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46B9871" w14:textId="77777777" w:rsidR="00B817BE" w:rsidRPr="00AE7613" w:rsidRDefault="00B817BE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C4151E" w14:textId="77777777" w:rsidR="00127F97" w:rsidRPr="00AE7613" w:rsidRDefault="00127F97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B2520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AB2520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B25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B2520">
              <w:rPr>
                <w:rFonts w:ascii="Times New Roman" w:hAnsi="Times New Roman" w:cs="Times New Roman"/>
                <w:sz w:val="20"/>
                <w:szCs w:val="20"/>
              </w:rPr>
              <w:t>derukstekanem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6B19A9" w14:textId="77777777" w:rsidR="00127F97" w:rsidRPr="00AE7613" w:rsidRDefault="008C1BF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C4223D" w14:textId="77777777" w:rsidR="007B1577" w:rsidRPr="00AE7613" w:rsidRDefault="00E96108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7B6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6B9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6260B1" w14:textId="77777777" w:rsidR="005A68BE" w:rsidRPr="00AE7613" w:rsidRDefault="007B1577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243AAB" w14:textId="77777777" w:rsidR="00CE4F32" w:rsidRPr="00AE7613" w:rsidRDefault="006246B9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56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4F27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EBA030" w14:textId="77777777" w:rsidR="00EF3DAA" w:rsidRPr="00AE7613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6D4B1E" w14:textId="77777777" w:rsidR="00FA09B0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E7BD81" w14:textId="77777777" w:rsidR="00EF3DAA" w:rsidRPr="00AE7613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5DBE3A" w14:textId="77777777" w:rsidR="00EF3DAA" w:rsidRPr="00AE7613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579209" w14:textId="77777777" w:rsidR="00127F97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F34F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F34F27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58A2A61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888D2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619CCB31" w14:textId="77777777" w:rsidR="00127F97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B25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2BFA74" w14:textId="77777777" w:rsidR="00F1705D" w:rsidRPr="00FB6963" w:rsidRDefault="00AB2520" w:rsidP="00FB69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8B3">
              <w:rPr>
                <w:rFonts w:ascii="Times New Roman" w:hAnsi="Times New Roman" w:cs="Times New Roman"/>
                <w:sz w:val="20"/>
                <w:szCs w:val="20"/>
              </w:rPr>
              <w:t>TK klatki piersiowej – w zależności od wskazań klinicznych lub podejrzenia śródmiąższowego zapalenia płuc</w:t>
            </w:r>
            <w:r w:rsidR="00E517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34244F" w14:textId="77777777" w:rsidR="00127F97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61C150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42195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23D3F5E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8E6994" w14:textId="77777777" w:rsidR="00D46E83" w:rsidRPr="00AE7613" w:rsidRDefault="00D46E83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751C80" w14:textId="77777777" w:rsidR="00E96108" w:rsidRPr="00AE7613" w:rsidRDefault="00E9610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D303CA" w14:textId="77777777" w:rsidR="00861346" w:rsidRPr="00AE7613" w:rsidRDefault="00BF1D1D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51314" w14:textId="77777777" w:rsidR="00861346" w:rsidRPr="00AE7613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4F9D709" w14:textId="77777777" w:rsidR="00794B51" w:rsidRDefault="00794B51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B35E7" w14:textId="77777777" w:rsidR="00861346" w:rsidRPr="00AE7613" w:rsidRDefault="00AE65B9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C0FE39E" w14:textId="77777777" w:rsidR="00861346" w:rsidRPr="00AE7613" w:rsidRDefault="00861346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5D4564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5D4564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9BF240" w14:textId="77777777" w:rsidR="00861346" w:rsidRPr="00AE7613" w:rsidRDefault="00861346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A95086" w14:textId="77777777" w:rsidR="00861346" w:rsidRPr="00AE7613" w:rsidRDefault="00861346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klinicznych)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proofErr w:type="spellEnd"/>
            <w:r w:rsidR="00AE65B9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7830543" w14:textId="77777777" w:rsidR="00861346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DBA5A" w14:textId="77777777" w:rsidR="00861346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7492CE75" w14:textId="77777777" w:rsidR="00861346" w:rsidRPr="00AE7613" w:rsidRDefault="00861346" w:rsidP="00D92AC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4E72" w14:textId="77777777" w:rsidR="00861346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65953A4" w14:textId="77777777" w:rsidR="00957268" w:rsidRPr="00AE7613" w:rsidRDefault="0095726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A8774" w14:textId="77777777" w:rsidR="005A38EC" w:rsidRPr="00AE7613" w:rsidRDefault="005A38EC" w:rsidP="00D92ACE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6F5B54EA" w14:textId="77777777" w:rsidR="006C5460" w:rsidRPr="00AE7613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żądanie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D584E1" w14:textId="77777777" w:rsidR="006C5460" w:rsidRPr="00AE7613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57668F" w14:textId="77777777" w:rsidR="00606666" w:rsidRPr="00AE7613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rejestru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A50" w:rsidRPr="00AE7613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6B0645FA" w14:textId="77777777" w:rsidR="005657C9" w:rsidRPr="00AE7613" w:rsidRDefault="005657C9" w:rsidP="00D92ACE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śmiertelność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(OS)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medianą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B77357" w14:textId="77777777" w:rsidR="005657C9" w:rsidRPr="00AE7613" w:rsidRDefault="005657C9" w:rsidP="00D92ACE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(PFS)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wolne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medianą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D0C39F" w14:textId="77777777" w:rsidR="006C5460" w:rsidRPr="00AE7613" w:rsidRDefault="005657C9" w:rsidP="00D92ACE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(ORR)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pełnej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31%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ED7DA2" w14:textId="77777777" w:rsidR="005A38EC" w:rsidRPr="00AE7613" w:rsidRDefault="009F3C07" w:rsidP="00D92ACE">
            <w:pPr>
              <w:pStyle w:val="Akapitzlist"/>
              <w:numPr>
                <w:ilvl w:val="3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988E3F6" w14:textId="77777777" w:rsidR="00104C31" w:rsidRPr="00B873D9" w:rsidRDefault="00104C31" w:rsidP="00E7571F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90DEA" w14:textId="77777777" w:rsidR="00F443D9" w:rsidRDefault="00F443D9" w:rsidP="00E30CF4">
      <w:pPr>
        <w:spacing w:after="0" w:line="240" w:lineRule="auto"/>
      </w:pPr>
      <w:r>
        <w:separator/>
      </w:r>
    </w:p>
  </w:endnote>
  <w:endnote w:type="continuationSeparator" w:id="0">
    <w:p w14:paraId="0D856826" w14:textId="77777777" w:rsidR="00F443D9" w:rsidRDefault="00F443D9" w:rsidP="00E3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5DB3" w14:textId="77777777" w:rsidR="00F443D9" w:rsidRDefault="00F443D9" w:rsidP="00E30CF4">
      <w:pPr>
        <w:spacing w:after="0" w:line="240" w:lineRule="auto"/>
      </w:pPr>
      <w:r>
        <w:separator/>
      </w:r>
    </w:p>
  </w:footnote>
  <w:footnote w:type="continuationSeparator" w:id="0">
    <w:p w14:paraId="04C5072D" w14:textId="77777777" w:rsidR="00F443D9" w:rsidRDefault="00F443D9" w:rsidP="00E3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FD2C9A"/>
    <w:multiLevelType w:val="hybridMultilevel"/>
    <w:tmpl w:val="A20070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0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E951ED"/>
    <w:multiLevelType w:val="multilevel"/>
    <w:tmpl w:val="6350577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230777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486C60"/>
    <w:multiLevelType w:val="multilevel"/>
    <w:tmpl w:val="120491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4CE1D2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51F4666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69305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ADA353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B4E065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17D3FD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702760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9F70A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6FA215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4020E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08367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D240AB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18C000C"/>
    <w:multiLevelType w:val="hybridMultilevel"/>
    <w:tmpl w:val="00F891F6"/>
    <w:lvl w:ilvl="0" w:tplc="15CA412E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7FA32C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AB6284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767C4D7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A3F0D7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AF738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CDD02F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97051048">
    <w:abstractNumId w:val="2"/>
  </w:num>
  <w:num w:numId="2" w16cid:durableId="1625693358">
    <w:abstractNumId w:val="9"/>
  </w:num>
  <w:num w:numId="3" w16cid:durableId="87049363">
    <w:abstractNumId w:val="18"/>
  </w:num>
  <w:num w:numId="4" w16cid:durableId="1889561983">
    <w:abstractNumId w:val="11"/>
  </w:num>
  <w:num w:numId="5" w16cid:durableId="1556700546">
    <w:abstractNumId w:val="7"/>
  </w:num>
  <w:num w:numId="6" w16cid:durableId="1790541796">
    <w:abstractNumId w:val="23"/>
  </w:num>
  <w:num w:numId="7" w16cid:durableId="1551500478">
    <w:abstractNumId w:val="20"/>
  </w:num>
  <w:num w:numId="8" w16cid:durableId="299503069">
    <w:abstractNumId w:val="14"/>
  </w:num>
  <w:num w:numId="9" w16cid:durableId="2019963326">
    <w:abstractNumId w:val="0"/>
  </w:num>
  <w:num w:numId="10" w16cid:durableId="1578057560">
    <w:abstractNumId w:val="22"/>
  </w:num>
  <w:num w:numId="11" w16cid:durableId="1531257612">
    <w:abstractNumId w:val="26"/>
  </w:num>
  <w:num w:numId="12" w16cid:durableId="1838107903">
    <w:abstractNumId w:val="25"/>
  </w:num>
  <w:num w:numId="13" w16cid:durableId="951520983">
    <w:abstractNumId w:val="3"/>
  </w:num>
  <w:num w:numId="14" w16cid:durableId="1167407963">
    <w:abstractNumId w:val="5"/>
  </w:num>
  <w:num w:numId="15" w16cid:durableId="2141877728">
    <w:abstractNumId w:val="6"/>
  </w:num>
  <w:num w:numId="16" w16cid:durableId="84496971">
    <w:abstractNumId w:val="19"/>
  </w:num>
  <w:num w:numId="17" w16cid:durableId="767390105">
    <w:abstractNumId w:val="1"/>
  </w:num>
  <w:num w:numId="18" w16cid:durableId="332535458">
    <w:abstractNumId w:val="16"/>
  </w:num>
  <w:num w:numId="19" w16cid:durableId="1536194811">
    <w:abstractNumId w:val="21"/>
  </w:num>
  <w:num w:numId="20" w16cid:durableId="807279633">
    <w:abstractNumId w:val="10"/>
  </w:num>
  <w:num w:numId="21" w16cid:durableId="1905136976">
    <w:abstractNumId w:val="4"/>
  </w:num>
  <w:num w:numId="22" w16cid:durableId="506679431">
    <w:abstractNumId w:val="28"/>
  </w:num>
  <w:num w:numId="23" w16cid:durableId="117379589">
    <w:abstractNumId w:val="17"/>
  </w:num>
  <w:num w:numId="24" w16cid:durableId="1799107808">
    <w:abstractNumId w:val="24"/>
  </w:num>
  <w:num w:numId="25" w16cid:durableId="1211721843">
    <w:abstractNumId w:val="12"/>
  </w:num>
  <w:num w:numId="26" w16cid:durableId="1134562431">
    <w:abstractNumId w:val="27"/>
  </w:num>
  <w:num w:numId="27" w16cid:durableId="610473356">
    <w:abstractNumId w:val="29"/>
  </w:num>
  <w:num w:numId="28" w16cid:durableId="870531216">
    <w:abstractNumId w:val="30"/>
  </w:num>
  <w:num w:numId="29" w16cid:durableId="1127623221">
    <w:abstractNumId w:val="15"/>
  </w:num>
  <w:num w:numId="30" w16cid:durableId="1363557964">
    <w:abstractNumId w:val="8"/>
  </w:num>
  <w:num w:numId="31" w16cid:durableId="47699196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0B6"/>
    <w:rsid w:val="00000263"/>
    <w:rsid w:val="00001891"/>
    <w:rsid w:val="00003D64"/>
    <w:rsid w:val="00003FDE"/>
    <w:rsid w:val="000042CB"/>
    <w:rsid w:val="00007894"/>
    <w:rsid w:val="00011428"/>
    <w:rsid w:val="000128B8"/>
    <w:rsid w:val="0001703F"/>
    <w:rsid w:val="000179EB"/>
    <w:rsid w:val="00017E74"/>
    <w:rsid w:val="000243EF"/>
    <w:rsid w:val="000252C9"/>
    <w:rsid w:val="0002535A"/>
    <w:rsid w:val="00031AAF"/>
    <w:rsid w:val="00032EC5"/>
    <w:rsid w:val="00033A6E"/>
    <w:rsid w:val="0003422A"/>
    <w:rsid w:val="00034D20"/>
    <w:rsid w:val="0003511C"/>
    <w:rsid w:val="000368A8"/>
    <w:rsid w:val="000373EB"/>
    <w:rsid w:val="00040B70"/>
    <w:rsid w:val="00040C5C"/>
    <w:rsid w:val="000453C9"/>
    <w:rsid w:val="00046005"/>
    <w:rsid w:val="000515FD"/>
    <w:rsid w:val="0005639B"/>
    <w:rsid w:val="00060DB6"/>
    <w:rsid w:val="0006500B"/>
    <w:rsid w:val="00074ED4"/>
    <w:rsid w:val="00080C2A"/>
    <w:rsid w:val="0008395E"/>
    <w:rsid w:val="0008571E"/>
    <w:rsid w:val="00085755"/>
    <w:rsid w:val="00085988"/>
    <w:rsid w:val="00086379"/>
    <w:rsid w:val="00087463"/>
    <w:rsid w:val="00087555"/>
    <w:rsid w:val="00090F70"/>
    <w:rsid w:val="00092BE2"/>
    <w:rsid w:val="00094ED5"/>
    <w:rsid w:val="000A09AF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B6C23"/>
    <w:rsid w:val="000C1E68"/>
    <w:rsid w:val="000C2090"/>
    <w:rsid w:val="000C75B6"/>
    <w:rsid w:val="000D0E52"/>
    <w:rsid w:val="000D348D"/>
    <w:rsid w:val="000D5778"/>
    <w:rsid w:val="000D7D2D"/>
    <w:rsid w:val="000F39D8"/>
    <w:rsid w:val="00100F8E"/>
    <w:rsid w:val="00102A4A"/>
    <w:rsid w:val="00103042"/>
    <w:rsid w:val="00103604"/>
    <w:rsid w:val="00104C31"/>
    <w:rsid w:val="00107B77"/>
    <w:rsid w:val="0011027A"/>
    <w:rsid w:val="0011175F"/>
    <w:rsid w:val="00111DFD"/>
    <w:rsid w:val="00111F21"/>
    <w:rsid w:val="00120A38"/>
    <w:rsid w:val="00121A99"/>
    <w:rsid w:val="001232F8"/>
    <w:rsid w:val="00123451"/>
    <w:rsid w:val="0012493A"/>
    <w:rsid w:val="00127F97"/>
    <w:rsid w:val="00132EAC"/>
    <w:rsid w:val="001341F0"/>
    <w:rsid w:val="001369C0"/>
    <w:rsid w:val="0014213C"/>
    <w:rsid w:val="001423D8"/>
    <w:rsid w:val="00145133"/>
    <w:rsid w:val="001454DD"/>
    <w:rsid w:val="001606E1"/>
    <w:rsid w:val="0016207C"/>
    <w:rsid w:val="0016571B"/>
    <w:rsid w:val="0016703E"/>
    <w:rsid w:val="001707CC"/>
    <w:rsid w:val="0017268F"/>
    <w:rsid w:val="001730CE"/>
    <w:rsid w:val="001746F7"/>
    <w:rsid w:val="001750AD"/>
    <w:rsid w:val="00181742"/>
    <w:rsid w:val="00191941"/>
    <w:rsid w:val="00195EAC"/>
    <w:rsid w:val="001A336C"/>
    <w:rsid w:val="001B4529"/>
    <w:rsid w:val="001C30BB"/>
    <w:rsid w:val="001C3B36"/>
    <w:rsid w:val="001C5F00"/>
    <w:rsid w:val="001D167A"/>
    <w:rsid w:val="001E0A1F"/>
    <w:rsid w:val="001E19D2"/>
    <w:rsid w:val="001E3CF1"/>
    <w:rsid w:val="001E47C7"/>
    <w:rsid w:val="001E535D"/>
    <w:rsid w:val="001E63DA"/>
    <w:rsid w:val="001E6CE7"/>
    <w:rsid w:val="0020079E"/>
    <w:rsid w:val="00202A04"/>
    <w:rsid w:val="002129EB"/>
    <w:rsid w:val="002201D3"/>
    <w:rsid w:val="002216B3"/>
    <w:rsid w:val="00221F54"/>
    <w:rsid w:val="002232FD"/>
    <w:rsid w:val="00223A3A"/>
    <w:rsid w:val="00225BDF"/>
    <w:rsid w:val="00230A17"/>
    <w:rsid w:val="0023102B"/>
    <w:rsid w:val="002311E9"/>
    <w:rsid w:val="00231D81"/>
    <w:rsid w:val="00233EF5"/>
    <w:rsid w:val="002351AB"/>
    <w:rsid w:val="0023755B"/>
    <w:rsid w:val="002406F6"/>
    <w:rsid w:val="002435D3"/>
    <w:rsid w:val="002450FB"/>
    <w:rsid w:val="00245FFA"/>
    <w:rsid w:val="00246110"/>
    <w:rsid w:val="00246125"/>
    <w:rsid w:val="0024673F"/>
    <w:rsid w:val="00251D1A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81EA0"/>
    <w:rsid w:val="00283C16"/>
    <w:rsid w:val="00285486"/>
    <w:rsid w:val="00290180"/>
    <w:rsid w:val="00290560"/>
    <w:rsid w:val="00291F18"/>
    <w:rsid w:val="002A1959"/>
    <w:rsid w:val="002A1A4C"/>
    <w:rsid w:val="002A4EBD"/>
    <w:rsid w:val="002A79D8"/>
    <w:rsid w:val="002B3AB8"/>
    <w:rsid w:val="002B4593"/>
    <w:rsid w:val="002B6596"/>
    <w:rsid w:val="002C06C1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F0648"/>
    <w:rsid w:val="002F113D"/>
    <w:rsid w:val="0030499A"/>
    <w:rsid w:val="00310506"/>
    <w:rsid w:val="00314453"/>
    <w:rsid w:val="0031495F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3676"/>
    <w:rsid w:val="00333EE5"/>
    <w:rsid w:val="003359FB"/>
    <w:rsid w:val="00336C2D"/>
    <w:rsid w:val="00336F0B"/>
    <w:rsid w:val="003402EF"/>
    <w:rsid w:val="00343B02"/>
    <w:rsid w:val="00344227"/>
    <w:rsid w:val="00350667"/>
    <w:rsid w:val="0035310F"/>
    <w:rsid w:val="00356216"/>
    <w:rsid w:val="00357518"/>
    <w:rsid w:val="00361F3B"/>
    <w:rsid w:val="00363C5F"/>
    <w:rsid w:val="003649D0"/>
    <w:rsid w:val="00364D0B"/>
    <w:rsid w:val="00365A2F"/>
    <w:rsid w:val="00366D62"/>
    <w:rsid w:val="00371F92"/>
    <w:rsid w:val="00376769"/>
    <w:rsid w:val="00380A48"/>
    <w:rsid w:val="00381E4D"/>
    <w:rsid w:val="0038537F"/>
    <w:rsid w:val="003868BA"/>
    <w:rsid w:val="00393D5E"/>
    <w:rsid w:val="0039745B"/>
    <w:rsid w:val="00397ABD"/>
    <w:rsid w:val="003A20A5"/>
    <w:rsid w:val="003B1671"/>
    <w:rsid w:val="003B3CF5"/>
    <w:rsid w:val="003C057F"/>
    <w:rsid w:val="003C345F"/>
    <w:rsid w:val="003C51C0"/>
    <w:rsid w:val="003C7984"/>
    <w:rsid w:val="003D1606"/>
    <w:rsid w:val="003D2959"/>
    <w:rsid w:val="003D2E8D"/>
    <w:rsid w:val="003D3B0A"/>
    <w:rsid w:val="003D60C1"/>
    <w:rsid w:val="003E0452"/>
    <w:rsid w:val="003E3B91"/>
    <w:rsid w:val="003E40FB"/>
    <w:rsid w:val="003E4851"/>
    <w:rsid w:val="003F0170"/>
    <w:rsid w:val="003F3059"/>
    <w:rsid w:val="003F5531"/>
    <w:rsid w:val="003F66BF"/>
    <w:rsid w:val="003F7008"/>
    <w:rsid w:val="003F7FDB"/>
    <w:rsid w:val="00401794"/>
    <w:rsid w:val="00404428"/>
    <w:rsid w:val="0040465B"/>
    <w:rsid w:val="00405EB8"/>
    <w:rsid w:val="00406170"/>
    <w:rsid w:val="0041002D"/>
    <w:rsid w:val="00410B12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40680"/>
    <w:rsid w:val="0044400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71D46"/>
    <w:rsid w:val="00471EBA"/>
    <w:rsid w:val="00482098"/>
    <w:rsid w:val="0048224C"/>
    <w:rsid w:val="004840B8"/>
    <w:rsid w:val="00485AFD"/>
    <w:rsid w:val="0048640D"/>
    <w:rsid w:val="00487283"/>
    <w:rsid w:val="004909BE"/>
    <w:rsid w:val="004A4ED6"/>
    <w:rsid w:val="004A60C2"/>
    <w:rsid w:val="004A79E8"/>
    <w:rsid w:val="004B0DCB"/>
    <w:rsid w:val="004B2F6E"/>
    <w:rsid w:val="004C33D6"/>
    <w:rsid w:val="004D1FAC"/>
    <w:rsid w:val="004D4CE2"/>
    <w:rsid w:val="004D72F4"/>
    <w:rsid w:val="004D7A56"/>
    <w:rsid w:val="004E0C0F"/>
    <w:rsid w:val="004E18D0"/>
    <w:rsid w:val="004E3993"/>
    <w:rsid w:val="004E4D24"/>
    <w:rsid w:val="004E61E0"/>
    <w:rsid w:val="004F7967"/>
    <w:rsid w:val="00501D31"/>
    <w:rsid w:val="00501D7F"/>
    <w:rsid w:val="0050222E"/>
    <w:rsid w:val="005061A3"/>
    <w:rsid w:val="00507B13"/>
    <w:rsid w:val="00507EF5"/>
    <w:rsid w:val="0051121A"/>
    <w:rsid w:val="005120B0"/>
    <w:rsid w:val="005226C0"/>
    <w:rsid w:val="0052363C"/>
    <w:rsid w:val="005238F2"/>
    <w:rsid w:val="00524131"/>
    <w:rsid w:val="00525490"/>
    <w:rsid w:val="005254FC"/>
    <w:rsid w:val="005334AD"/>
    <w:rsid w:val="00540C0F"/>
    <w:rsid w:val="005447DE"/>
    <w:rsid w:val="00545A80"/>
    <w:rsid w:val="0054628D"/>
    <w:rsid w:val="00553D1B"/>
    <w:rsid w:val="00555C07"/>
    <w:rsid w:val="00555F20"/>
    <w:rsid w:val="00557007"/>
    <w:rsid w:val="005611F4"/>
    <w:rsid w:val="005657C9"/>
    <w:rsid w:val="00565C76"/>
    <w:rsid w:val="00566145"/>
    <w:rsid w:val="00572A5D"/>
    <w:rsid w:val="00572F4C"/>
    <w:rsid w:val="005772F7"/>
    <w:rsid w:val="00582275"/>
    <w:rsid w:val="00583ACD"/>
    <w:rsid w:val="00585E1C"/>
    <w:rsid w:val="005870CF"/>
    <w:rsid w:val="00592695"/>
    <w:rsid w:val="00595510"/>
    <w:rsid w:val="00597228"/>
    <w:rsid w:val="005A0571"/>
    <w:rsid w:val="005A2DF8"/>
    <w:rsid w:val="005A3460"/>
    <w:rsid w:val="005A38EC"/>
    <w:rsid w:val="005A3FC7"/>
    <w:rsid w:val="005A45CB"/>
    <w:rsid w:val="005A5686"/>
    <w:rsid w:val="005A68BE"/>
    <w:rsid w:val="005A784C"/>
    <w:rsid w:val="005B3B41"/>
    <w:rsid w:val="005C183B"/>
    <w:rsid w:val="005C1950"/>
    <w:rsid w:val="005C21E1"/>
    <w:rsid w:val="005C3002"/>
    <w:rsid w:val="005C4C1A"/>
    <w:rsid w:val="005C4EA1"/>
    <w:rsid w:val="005C566C"/>
    <w:rsid w:val="005C670B"/>
    <w:rsid w:val="005C78D5"/>
    <w:rsid w:val="005C7D95"/>
    <w:rsid w:val="005D15A3"/>
    <w:rsid w:val="005D373B"/>
    <w:rsid w:val="005D41AE"/>
    <w:rsid w:val="005D4564"/>
    <w:rsid w:val="005D61A9"/>
    <w:rsid w:val="005E0501"/>
    <w:rsid w:val="005E248B"/>
    <w:rsid w:val="005E2FFC"/>
    <w:rsid w:val="005F4DB3"/>
    <w:rsid w:val="005F4E54"/>
    <w:rsid w:val="005F5546"/>
    <w:rsid w:val="005F6316"/>
    <w:rsid w:val="005F6AA0"/>
    <w:rsid w:val="005F744D"/>
    <w:rsid w:val="00603FB8"/>
    <w:rsid w:val="00605A59"/>
    <w:rsid w:val="00606666"/>
    <w:rsid w:val="00606E24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46B9"/>
    <w:rsid w:val="00624776"/>
    <w:rsid w:val="00626F2A"/>
    <w:rsid w:val="00627CA3"/>
    <w:rsid w:val="00631CAD"/>
    <w:rsid w:val="0063355B"/>
    <w:rsid w:val="00640144"/>
    <w:rsid w:val="00642011"/>
    <w:rsid w:val="006451A4"/>
    <w:rsid w:val="0064522A"/>
    <w:rsid w:val="00647471"/>
    <w:rsid w:val="006545A7"/>
    <w:rsid w:val="00654DE7"/>
    <w:rsid w:val="006566C6"/>
    <w:rsid w:val="00656A46"/>
    <w:rsid w:val="006573BD"/>
    <w:rsid w:val="00663097"/>
    <w:rsid w:val="0066408B"/>
    <w:rsid w:val="006710D9"/>
    <w:rsid w:val="00673648"/>
    <w:rsid w:val="00674928"/>
    <w:rsid w:val="00682C5C"/>
    <w:rsid w:val="00684593"/>
    <w:rsid w:val="006862B2"/>
    <w:rsid w:val="0069017F"/>
    <w:rsid w:val="00690F4B"/>
    <w:rsid w:val="00691E03"/>
    <w:rsid w:val="00692277"/>
    <w:rsid w:val="00692362"/>
    <w:rsid w:val="00692511"/>
    <w:rsid w:val="00693D3F"/>
    <w:rsid w:val="006963B6"/>
    <w:rsid w:val="006A38A9"/>
    <w:rsid w:val="006A3D74"/>
    <w:rsid w:val="006A559B"/>
    <w:rsid w:val="006A7391"/>
    <w:rsid w:val="006B03AD"/>
    <w:rsid w:val="006B26EF"/>
    <w:rsid w:val="006B27B4"/>
    <w:rsid w:val="006B32FE"/>
    <w:rsid w:val="006B46F9"/>
    <w:rsid w:val="006B72BD"/>
    <w:rsid w:val="006C1BC5"/>
    <w:rsid w:val="006C30B7"/>
    <w:rsid w:val="006C49F7"/>
    <w:rsid w:val="006C5460"/>
    <w:rsid w:val="006C6E32"/>
    <w:rsid w:val="006C7982"/>
    <w:rsid w:val="006D00F3"/>
    <w:rsid w:val="006D4610"/>
    <w:rsid w:val="006E282B"/>
    <w:rsid w:val="006E3502"/>
    <w:rsid w:val="006E37A7"/>
    <w:rsid w:val="006F4178"/>
    <w:rsid w:val="006F4868"/>
    <w:rsid w:val="006F4EF8"/>
    <w:rsid w:val="006F5925"/>
    <w:rsid w:val="006F652C"/>
    <w:rsid w:val="007030FE"/>
    <w:rsid w:val="00705EF6"/>
    <w:rsid w:val="00710375"/>
    <w:rsid w:val="00712EB2"/>
    <w:rsid w:val="00715B82"/>
    <w:rsid w:val="00717D49"/>
    <w:rsid w:val="00720394"/>
    <w:rsid w:val="00720F17"/>
    <w:rsid w:val="00722124"/>
    <w:rsid w:val="007232E5"/>
    <w:rsid w:val="00724B74"/>
    <w:rsid w:val="0072614E"/>
    <w:rsid w:val="0072742D"/>
    <w:rsid w:val="00727A11"/>
    <w:rsid w:val="0073106E"/>
    <w:rsid w:val="007329A5"/>
    <w:rsid w:val="0073638C"/>
    <w:rsid w:val="007410AC"/>
    <w:rsid w:val="007413CF"/>
    <w:rsid w:val="00743EAD"/>
    <w:rsid w:val="00753490"/>
    <w:rsid w:val="0075387A"/>
    <w:rsid w:val="00753D3C"/>
    <w:rsid w:val="00754B8F"/>
    <w:rsid w:val="00760995"/>
    <w:rsid w:val="007618B4"/>
    <w:rsid w:val="007630B6"/>
    <w:rsid w:val="00763F41"/>
    <w:rsid w:val="00764964"/>
    <w:rsid w:val="007670B5"/>
    <w:rsid w:val="00770FE9"/>
    <w:rsid w:val="007750BA"/>
    <w:rsid w:val="007773E1"/>
    <w:rsid w:val="00785C79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329"/>
    <w:rsid w:val="007C09C3"/>
    <w:rsid w:val="007C3087"/>
    <w:rsid w:val="007C32D0"/>
    <w:rsid w:val="007C495E"/>
    <w:rsid w:val="007C4F43"/>
    <w:rsid w:val="007C5B2F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3388"/>
    <w:rsid w:val="007F3B76"/>
    <w:rsid w:val="007F482B"/>
    <w:rsid w:val="00802CCA"/>
    <w:rsid w:val="00806717"/>
    <w:rsid w:val="008067F6"/>
    <w:rsid w:val="00810835"/>
    <w:rsid w:val="00811004"/>
    <w:rsid w:val="0081296A"/>
    <w:rsid w:val="00821E0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E4C"/>
    <w:rsid w:val="008470E0"/>
    <w:rsid w:val="00847201"/>
    <w:rsid w:val="00847ACF"/>
    <w:rsid w:val="00850023"/>
    <w:rsid w:val="00852B9E"/>
    <w:rsid w:val="00853729"/>
    <w:rsid w:val="00861346"/>
    <w:rsid w:val="008648FE"/>
    <w:rsid w:val="00871D6C"/>
    <w:rsid w:val="00873A12"/>
    <w:rsid w:val="00876BA4"/>
    <w:rsid w:val="00880E73"/>
    <w:rsid w:val="00880E7C"/>
    <w:rsid w:val="008819F6"/>
    <w:rsid w:val="00892649"/>
    <w:rsid w:val="0089531A"/>
    <w:rsid w:val="00896407"/>
    <w:rsid w:val="008964FF"/>
    <w:rsid w:val="008A03D5"/>
    <w:rsid w:val="008A17EC"/>
    <w:rsid w:val="008A1E23"/>
    <w:rsid w:val="008A462F"/>
    <w:rsid w:val="008A550E"/>
    <w:rsid w:val="008A58CF"/>
    <w:rsid w:val="008A5ACF"/>
    <w:rsid w:val="008A5FA3"/>
    <w:rsid w:val="008B04DB"/>
    <w:rsid w:val="008B3A50"/>
    <w:rsid w:val="008B571E"/>
    <w:rsid w:val="008B7802"/>
    <w:rsid w:val="008C1BFB"/>
    <w:rsid w:val="008C6ABD"/>
    <w:rsid w:val="008D29CC"/>
    <w:rsid w:val="008D30B5"/>
    <w:rsid w:val="008D6750"/>
    <w:rsid w:val="008E0B33"/>
    <w:rsid w:val="008E5A33"/>
    <w:rsid w:val="008F2EF4"/>
    <w:rsid w:val="008F658E"/>
    <w:rsid w:val="009015D8"/>
    <w:rsid w:val="00902BD7"/>
    <w:rsid w:val="00905EF2"/>
    <w:rsid w:val="00907387"/>
    <w:rsid w:val="00907CAC"/>
    <w:rsid w:val="0091052D"/>
    <w:rsid w:val="00912308"/>
    <w:rsid w:val="00917924"/>
    <w:rsid w:val="00917B1B"/>
    <w:rsid w:val="0092327A"/>
    <w:rsid w:val="0092439E"/>
    <w:rsid w:val="00924854"/>
    <w:rsid w:val="009248AB"/>
    <w:rsid w:val="009301CC"/>
    <w:rsid w:val="00937566"/>
    <w:rsid w:val="00943D3C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70D9F"/>
    <w:rsid w:val="00971843"/>
    <w:rsid w:val="00971D9B"/>
    <w:rsid w:val="009724F5"/>
    <w:rsid w:val="00974314"/>
    <w:rsid w:val="00974E59"/>
    <w:rsid w:val="00976333"/>
    <w:rsid w:val="0098160F"/>
    <w:rsid w:val="009817A5"/>
    <w:rsid w:val="00985537"/>
    <w:rsid w:val="00985B1B"/>
    <w:rsid w:val="00987EE6"/>
    <w:rsid w:val="00990F1C"/>
    <w:rsid w:val="00997284"/>
    <w:rsid w:val="00997629"/>
    <w:rsid w:val="009A04A6"/>
    <w:rsid w:val="009A1DCA"/>
    <w:rsid w:val="009A24E5"/>
    <w:rsid w:val="009A44A0"/>
    <w:rsid w:val="009A45D0"/>
    <w:rsid w:val="009A7533"/>
    <w:rsid w:val="009B0BE2"/>
    <w:rsid w:val="009B1961"/>
    <w:rsid w:val="009B3441"/>
    <w:rsid w:val="009B382E"/>
    <w:rsid w:val="009B57BB"/>
    <w:rsid w:val="009B626E"/>
    <w:rsid w:val="009C05CC"/>
    <w:rsid w:val="009C3AC2"/>
    <w:rsid w:val="009C46FB"/>
    <w:rsid w:val="009C544C"/>
    <w:rsid w:val="009C652E"/>
    <w:rsid w:val="009C6984"/>
    <w:rsid w:val="009E0020"/>
    <w:rsid w:val="009E0977"/>
    <w:rsid w:val="009E1F23"/>
    <w:rsid w:val="009E457E"/>
    <w:rsid w:val="009E4FDF"/>
    <w:rsid w:val="009F225B"/>
    <w:rsid w:val="009F314E"/>
    <w:rsid w:val="009F389D"/>
    <w:rsid w:val="009F3C07"/>
    <w:rsid w:val="009F6796"/>
    <w:rsid w:val="009F75AC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3776"/>
    <w:rsid w:val="00A1486A"/>
    <w:rsid w:val="00A24039"/>
    <w:rsid w:val="00A276E1"/>
    <w:rsid w:val="00A31A36"/>
    <w:rsid w:val="00A327CF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17EC"/>
    <w:rsid w:val="00A86450"/>
    <w:rsid w:val="00A8661E"/>
    <w:rsid w:val="00A869DE"/>
    <w:rsid w:val="00A87335"/>
    <w:rsid w:val="00A900FD"/>
    <w:rsid w:val="00A902C3"/>
    <w:rsid w:val="00A9210C"/>
    <w:rsid w:val="00AA3DDB"/>
    <w:rsid w:val="00AA409E"/>
    <w:rsid w:val="00AA47B3"/>
    <w:rsid w:val="00AA5D02"/>
    <w:rsid w:val="00AA6229"/>
    <w:rsid w:val="00AA6B1C"/>
    <w:rsid w:val="00AB086A"/>
    <w:rsid w:val="00AB2520"/>
    <w:rsid w:val="00AB4360"/>
    <w:rsid w:val="00AC18ED"/>
    <w:rsid w:val="00AC1AE0"/>
    <w:rsid w:val="00AC1AF3"/>
    <w:rsid w:val="00AC2214"/>
    <w:rsid w:val="00AC3CBD"/>
    <w:rsid w:val="00AC6E9D"/>
    <w:rsid w:val="00AD083C"/>
    <w:rsid w:val="00AD20F0"/>
    <w:rsid w:val="00AD35FD"/>
    <w:rsid w:val="00AD3657"/>
    <w:rsid w:val="00AD45EE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65B9"/>
    <w:rsid w:val="00AE7613"/>
    <w:rsid w:val="00AF7668"/>
    <w:rsid w:val="00B02E54"/>
    <w:rsid w:val="00B04457"/>
    <w:rsid w:val="00B115B3"/>
    <w:rsid w:val="00B11A4C"/>
    <w:rsid w:val="00B12382"/>
    <w:rsid w:val="00B1327D"/>
    <w:rsid w:val="00B13484"/>
    <w:rsid w:val="00B1370A"/>
    <w:rsid w:val="00B16063"/>
    <w:rsid w:val="00B16CE2"/>
    <w:rsid w:val="00B215BF"/>
    <w:rsid w:val="00B21EAF"/>
    <w:rsid w:val="00B22C7B"/>
    <w:rsid w:val="00B23CDF"/>
    <w:rsid w:val="00B25A69"/>
    <w:rsid w:val="00B30CD2"/>
    <w:rsid w:val="00B321EB"/>
    <w:rsid w:val="00B34502"/>
    <w:rsid w:val="00B357CE"/>
    <w:rsid w:val="00B4095C"/>
    <w:rsid w:val="00B419F9"/>
    <w:rsid w:val="00B42267"/>
    <w:rsid w:val="00B4621E"/>
    <w:rsid w:val="00B475C5"/>
    <w:rsid w:val="00B52050"/>
    <w:rsid w:val="00B54969"/>
    <w:rsid w:val="00B56425"/>
    <w:rsid w:val="00B620BA"/>
    <w:rsid w:val="00B63656"/>
    <w:rsid w:val="00B648A4"/>
    <w:rsid w:val="00B65FB5"/>
    <w:rsid w:val="00B66641"/>
    <w:rsid w:val="00B67AA5"/>
    <w:rsid w:val="00B73A19"/>
    <w:rsid w:val="00B74973"/>
    <w:rsid w:val="00B8002B"/>
    <w:rsid w:val="00B817BE"/>
    <w:rsid w:val="00B873D9"/>
    <w:rsid w:val="00B90793"/>
    <w:rsid w:val="00B95A47"/>
    <w:rsid w:val="00B97205"/>
    <w:rsid w:val="00BA12FD"/>
    <w:rsid w:val="00BA21BA"/>
    <w:rsid w:val="00BA2262"/>
    <w:rsid w:val="00BA502A"/>
    <w:rsid w:val="00BA5129"/>
    <w:rsid w:val="00BA5F6F"/>
    <w:rsid w:val="00BA7FFE"/>
    <w:rsid w:val="00BB0CA9"/>
    <w:rsid w:val="00BB28EB"/>
    <w:rsid w:val="00BB683A"/>
    <w:rsid w:val="00BC01D3"/>
    <w:rsid w:val="00BD199C"/>
    <w:rsid w:val="00BD427D"/>
    <w:rsid w:val="00BD56D4"/>
    <w:rsid w:val="00BD6F4A"/>
    <w:rsid w:val="00BE59E7"/>
    <w:rsid w:val="00BF0632"/>
    <w:rsid w:val="00BF0899"/>
    <w:rsid w:val="00BF1D1D"/>
    <w:rsid w:val="00BF3397"/>
    <w:rsid w:val="00BF4564"/>
    <w:rsid w:val="00BF6179"/>
    <w:rsid w:val="00BF73FA"/>
    <w:rsid w:val="00C0353C"/>
    <w:rsid w:val="00C04233"/>
    <w:rsid w:val="00C04E94"/>
    <w:rsid w:val="00C05FC8"/>
    <w:rsid w:val="00C06F5B"/>
    <w:rsid w:val="00C0756F"/>
    <w:rsid w:val="00C10653"/>
    <w:rsid w:val="00C16698"/>
    <w:rsid w:val="00C16743"/>
    <w:rsid w:val="00C16A53"/>
    <w:rsid w:val="00C34D0C"/>
    <w:rsid w:val="00C35287"/>
    <w:rsid w:val="00C37FD5"/>
    <w:rsid w:val="00C4087D"/>
    <w:rsid w:val="00C41232"/>
    <w:rsid w:val="00C43BFC"/>
    <w:rsid w:val="00C445BF"/>
    <w:rsid w:val="00C46298"/>
    <w:rsid w:val="00C463BB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6C5"/>
    <w:rsid w:val="00C766FF"/>
    <w:rsid w:val="00C809E9"/>
    <w:rsid w:val="00C84355"/>
    <w:rsid w:val="00C867C5"/>
    <w:rsid w:val="00C91344"/>
    <w:rsid w:val="00C94E9A"/>
    <w:rsid w:val="00C9507D"/>
    <w:rsid w:val="00C95719"/>
    <w:rsid w:val="00CA0EC2"/>
    <w:rsid w:val="00CA14F5"/>
    <w:rsid w:val="00CA2A5C"/>
    <w:rsid w:val="00CA2C66"/>
    <w:rsid w:val="00CA2F8E"/>
    <w:rsid w:val="00CA60DA"/>
    <w:rsid w:val="00CB171E"/>
    <w:rsid w:val="00CB1CB3"/>
    <w:rsid w:val="00CB5CF8"/>
    <w:rsid w:val="00CB6EF2"/>
    <w:rsid w:val="00CC0768"/>
    <w:rsid w:val="00CC47D5"/>
    <w:rsid w:val="00CD2E57"/>
    <w:rsid w:val="00CD34FE"/>
    <w:rsid w:val="00CD37FE"/>
    <w:rsid w:val="00CD3DB8"/>
    <w:rsid w:val="00CD4D06"/>
    <w:rsid w:val="00CD673C"/>
    <w:rsid w:val="00CE1061"/>
    <w:rsid w:val="00CE3409"/>
    <w:rsid w:val="00CE3BDE"/>
    <w:rsid w:val="00CE4F32"/>
    <w:rsid w:val="00CE753B"/>
    <w:rsid w:val="00CF0C0F"/>
    <w:rsid w:val="00CF560C"/>
    <w:rsid w:val="00D01D25"/>
    <w:rsid w:val="00D035BF"/>
    <w:rsid w:val="00D118E2"/>
    <w:rsid w:val="00D22F42"/>
    <w:rsid w:val="00D26ACB"/>
    <w:rsid w:val="00D31207"/>
    <w:rsid w:val="00D33197"/>
    <w:rsid w:val="00D3451B"/>
    <w:rsid w:val="00D43870"/>
    <w:rsid w:val="00D451F1"/>
    <w:rsid w:val="00D46E83"/>
    <w:rsid w:val="00D46F3E"/>
    <w:rsid w:val="00D471CD"/>
    <w:rsid w:val="00D50692"/>
    <w:rsid w:val="00D54158"/>
    <w:rsid w:val="00D55BEF"/>
    <w:rsid w:val="00D56136"/>
    <w:rsid w:val="00D567C1"/>
    <w:rsid w:val="00D56A40"/>
    <w:rsid w:val="00D61C9E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4D30"/>
    <w:rsid w:val="00D90D29"/>
    <w:rsid w:val="00D92ACE"/>
    <w:rsid w:val="00D945F0"/>
    <w:rsid w:val="00D96AA6"/>
    <w:rsid w:val="00D96AB7"/>
    <w:rsid w:val="00D96DEC"/>
    <w:rsid w:val="00DA1041"/>
    <w:rsid w:val="00DA6819"/>
    <w:rsid w:val="00DA7F4C"/>
    <w:rsid w:val="00DB060C"/>
    <w:rsid w:val="00DB3EB5"/>
    <w:rsid w:val="00DB4EE7"/>
    <w:rsid w:val="00DB62A6"/>
    <w:rsid w:val="00DC2543"/>
    <w:rsid w:val="00DC3B68"/>
    <w:rsid w:val="00DC5CFF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33DC"/>
    <w:rsid w:val="00E039C5"/>
    <w:rsid w:val="00E04103"/>
    <w:rsid w:val="00E0654B"/>
    <w:rsid w:val="00E20941"/>
    <w:rsid w:val="00E21754"/>
    <w:rsid w:val="00E22435"/>
    <w:rsid w:val="00E24748"/>
    <w:rsid w:val="00E25CC1"/>
    <w:rsid w:val="00E276A3"/>
    <w:rsid w:val="00E277A2"/>
    <w:rsid w:val="00E27F1D"/>
    <w:rsid w:val="00E302B5"/>
    <w:rsid w:val="00E30B88"/>
    <w:rsid w:val="00E30CF4"/>
    <w:rsid w:val="00E327B6"/>
    <w:rsid w:val="00E33760"/>
    <w:rsid w:val="00E367D2"/>
    <w:rsid w:val="00E41D09"/>
    <w:rsid w:val="00E4360F"/>
    <w:rsid w:val="00E46E18"/>
    <w:rsid w:val="00E46F3C"/>
    <w:rsid w:val="00E5155B"/>
    <w:rsid w:val="00E517B2"/>
    <w:rsid w:val="00E51F03"/>
    <w:rsid w:val="00E5229E"/>
    <w:rsid w:val="00E559DD"/>
    <w:rsid w:val="00E572A6"/>
    <w:rsid w:val="00E57C2A"/>
    <w:rsid w:val="00E612BF"/>
    <w:rsid w:val="00E6298C"/>
    <w:rsid w:val="00E67EB5"/>
    <w:rsid w:val="00E7150D"/>
    <w:rsid w:val="00E7571F"/>
    <w:rsid w:val="00E763B3"/>
    <w:rsid w:val="00E83968"/>
    <w:rsid w:val="00E85B45"/>
    <w:rsid w:val="00E871E2"/>
    <w:rsid w:val="00E87BE9"/>
    <w:rsid w:val="00E91A3A"/>
    <w:rsid w:val="00E92B86"/>
    <w:rsid w:val="00E95808"/>
    <w:rsid w:val="00E95954"/>
    <w:rsid w:val="00E96108"/>
    <w:rsid w:val="00EA134C"/>
    <w:rsid w:val="00EA2D63"/>
    <w:rsid w:val="00EA395C"/>
    <w:rsid w:val="00EA584C"/>
    <w:rsid w:val="00EA5ADE"/>
    <w:rsid w:val="00EA5CC5"/>
    <w:rsid w:val="00EB029E"/>
    <w:rsid w:val="00EB3938"/>
    <w:rsid w:val="00EB5044"/>
    <w:rsid w:val="00EB7F06"/>
    <w:rsid w:val="00EC1216"/>
    <w:rsid w:val="00EC5B0F"/>
    <w:rsid w:val="00EC5D86"/>
    <w:rsid w:val="00ED1A32"/>
    <w:rsid w:val="00ED6BCB"/>
    <w:rsid w:val="00ED6C58"/>
    <w:rsid w:val="00EE16EC"/>
    <w:rsid w:val="00EE21C9"/>
    <w:rsid w:val="00EE2BB0"/>
    <w:rsid w:val="00EE3CD4"/>
    <w:rsid w:val="00EE5FE5"/>
    <w:rsid w:val="00EF2491"/>
    <w:rsid w:val="00EF30EC"/>
    <w:rsid w:val="00EF3DAA"/>
    <w:rsid w:val="00F0126E"/>
    <w:rsid w:val="00F051CF"/>
    <w:rsid w:val="00F1112A"/>
    <w:rsid w:val="00F11F6F"/>
    <w:rsid w:val="00F15590"/>
    <w:rsid w:val="00F1705D"/>
    <w:rsid w:val="00F249EF"/>
    <w:rsid w:val="00F2763F"/>
    <w:rsid w:val="00F27BA6"/>
    <w:rsid w:val="00F314BF"/>
    <w:rsid w:val="00F34F27"/>
    <w:rsid w:val="00F3689C"/>
    <w:rsid w:val="00F40A35"/>
    <w:rsid w:val="00F40FCA"/>
    <w:rsid w:val="00F410F6"/>
    <w:rsid w:val="00F43EB2"/>
    <w:rsid w:val="00F443D9"/>
    <w:rsid w:val="00F446E4"/>
    <w:rsid w:val="00F50A20"/>
    <w:rsid w:val="00F54722"/>
    <w:rsid w:val="00F567E7"/>
    <w:rsid w:val="00F61155"/>
    <w:rsid w:val="00F62194"/>
    <w:rsid w:val="00F6562C"/>
    <w:rsid w:val="00F71373"/>
    <w:rsid w:val="00F72B89"/>
    <w:rsid w:val="00F73C5D"/>
    <w:rsid w:val="00F7690A"/>
    <w:rsid w:val="00F76E5F"/>
    <w:rsid w:val="00F77B7D"/>
    <w:rsid w:val="00F804EA"/>
    <w:rsid w:val="00F805F9"/>
    <w:rsid w:val="00F8208B"/>
    <w:rsid w:val="00F85FF6"/>
    <w:rsid w:val="00F94DFB"/>
    <w:rsid w:val="00F955D4"/>
    <w:rsid w:val="00F9775A"/>
    <w:rsid w:val="00FA09B0"/>
    <w:rsid w:val="00FA0EE7"/>
    <w:rsid w:val="00FA1733"/>
    <w:rsid w:val="00FA1A89"/>
    <w:rsid w:val="00FA2F38"/>
    <w:rsid w:val="00FB04E0"/>
    <w:rsid w:val="00FB0C52"/>
    <w:rsid w:val="00FB5063"/>
    <w:rsid w:val="00FB5242"/>
    <w:rsid w:val="00FB5526"/>
    <w:rsid w:val="00FB694F"/>
    <w:rsid w:val="00FB6963"/>
    <w:rsid w:val="00FC0E90"/>
    <w:rsid w:val="00FC2A14"/>
    <w:rsid w:val="00FD1B1B"/>
    <w:rsid w:val="00FD32BA"/>
    <w:rsid w:val="00FD7FA8"/>
    <w:rsid w:val="00FE02D0"/>
    <w:rsid w:val="00FE5064"/>
    <w:rsid w:val="00FE5520"/>
    <w:rsid w:val="00FE765F"/>
    <w:rsid w:val="00FF0C36"/>
    <w:rsid w:val="00FF3AEA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5D9C2"/>
  <w15:docId w15:val="{CA3ADB5C-4703-4564-ADF3-F90F1F90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4" ma:contentTypeDescription="Utwórz nowy dokument." ma:contentTypeScope="" ma:versionID="2a1c831daa1c0ea6008a82b72c948cd2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194280e6238dc64dc596f9d676a60fbb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3.xml><?xml version="1.0" encoding="utf-8"?>
<ds:datastoreItem xmlns:ds="http://schemas.openxmlformats.org/officeDocument/2006/customXml" ds:itemID="{C9F75BFA-BAC9-4A2A-87BB-FB21D2991A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44C43E-611A-480E-A564-5EC80F540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7904</Words>
  <Characters>47426</Characters>
  <Application>Microsoft Office Word</Application>
  <DocSecurity>0</DocSecurity>
  <Lines>395</Lines>
  <Paragraphs>110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Królak-Buzakowska Joanna</cp:lastModifiedBy>
  <cp:revision>3</cp:revision>
  <dcterms:created xsi:type="dcterms:W3CDTF">2023-10-06T08:42:00Z</dcterms:created>
  <dcterms:modified xsi:type="dcterms:W3CDTF">2023-10-06T08:43:00Z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